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007" w:type="dxa"/>
        <w:jc w:val="center"/>
        <w:tblLook w:val="04A0" w:firstRow="1" w:lastRow="0" w:firstColumn="1" w:lastColumn="0" w:noHBand="0" w:noVBand="1"/>
      </w:tblPr>
      <w:tblGrid>
        <w:gridCol w:w="3335"/>
        <w:gridCol w:w="3335"/>
        <w:gridCol w:w="3337"/>
      </w:tblGrid>
      <w:tr w:rsidR="00742FA8" w:rsidRPr="00160751" w14:paraId="131B86C3" w14:textId="77777777" w:rsidTr="00210BD6">
        <w:trPr>
          <w:trHeight w:val="652"/>
          <w:jc w:val="center"/>
        </w:trPr>
        <w:tc>
          <w:tcPr>
            <w:tcW w:w="3335" w:type="dxa"/>
            <w:tcBorders>
              <w:right w:val="single" w:sz="4" w:space="0" w:color="44546A" w:themeColor="text2"/>
            </w:tcBorders>
            <w:shd w:val="clear" w:color="auto" w:fill="1F3864" w:themeFill="accent1" w:themeFillShade="80"/>
          </w:tcPr>
          <w:p w14:paraId="0090F8EA" w14:textId="77777777" w:rsidR="006D4BA9" w:rsidRDefault="006D4BA9" w:rsidP="006D4BA9">
            <w:pPr>
              <w:jc w:val="center"/>
              <w:rPr>
                <w:rFonts w:cs="Arial"/>
                <w:color w:val="FFFFFF" w:themeColor="background1"/>
                <w:sz w:val="32"/>
                <w:szCs w:val="32"/>
                <w:shd w:val="clear" w:color="auto" w:fill="1F3864" w:themeFill="accent1" w:themeFillShade="80"/>
                <w:lang w:val="en-US"/>
              </w:rPr>
            </w:pPr>
          </w:p>
          <w:p w14:paraId="2C5F4757" w14:textId="44CDFEF0" w:rsidR="006D4BA9" w:rsidRPr="00906B87" w:rsidRDefault="006D4BA9" w:rsidP="006D4BA9">
            <w:pPr>
              <w:jc w:val="center"/>
              <w:rPr>
                <w:rFonts w:cs="Arial"/>
                <w:color w:val="FFFFFF" w:themeColor="background1"/>
                <w:sz w:val="32"/>
                <w:szCs w:val="32"/>
                <w:shd w:val="clear" w:color="auto" w:fill="1F3864" w:themeFill="accent1" w:themeFillShade="80"/>
                <w:lang w:val="en-US"/>
              </w:rPr>
            </w:pPr>
            <w:r w:rsidRPr="00906B87">
              <w:rPr>
                <w:rFonts w:cs="Arial"/>
                <w:color w:val="FFFFFF" w:themeColor="background1"/>
                <w:sz w:val="32"/>
                <w:szCs w:val="32"/>
                <w:shd w:val="clear" w:color="auto" w:fill="1F3864" w:themeFill="accent1" w:themeFillShade="80"/>
                <w:lang w:val="en-US"/>
              </w:rPr>
              <w:t xml:space="preserve">Annual Rule of Law Report - Council of Europe </w:t>
            </w:r>
            <w:r w:rsidR="007F28E2">
              <w:rPr>
                <w:rFonts w:cs="Arial"/>
                <w:color w:val="FFFFFF" w:themeColor="background1"/>
                <w:sz w:val="32"/>
                <w:szCs w:val="32"/>
                <w:shd w:val="clear" w:color="auto" w:fill="1F3864" w:themeFill="accent1" w:themeFillShade="80"/>
                <w:lang w:val="en-US"/>
              </w:rPr>
              <w:t>contribution</w:t>
            </w:r>
          </w:p>
          <w:p w14:paraId="53B8847D" w14:textId="510E4AFA" w:rsidR="00742FA8" w:rsidRDefault="00742FA8">
            <w:pPr>
              <w:rPr>
                <w:lang w:val="en-US"/>
              </w:rPr>
            </w:pPr>
          </w:p>
        </w:tc>
        <w:tc>
          <w:tcPr>
            <w:tcW w:w="3335" w:type="dxa"/>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68BF9AA1" w14:textId="298AA34B" w:rsidR="00742FA8" w:rsidRDefault="00742FA8">
            <w:pPr>
              <w:rPr>
                <w:lang w:val="en-US"/>
              </w:rPr>
            </w:pPr>
            <w:r>
              <w:rPr>
                <w:noProof/>
              </w:rPr>
              <w:drawing>
                <wp:inline distT="0" distB="0" distL="0" distR="0" wp14:anchorId="46A74EFC" wp14:editId="1B8DF21D">
                  <wp:extent cx="1433946" cy="146112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4789" cy="1594444"/>
                          </a:xfrm>
                          <a:prstGeom prst="rect">
                            <a:avLst/>
                          </a:prstGeom>
                          <a:noFill/>
                          <a:ln>
                            <a:noFill/>
                          </a:ln>
                        </pic:spPr>
                      </pic:pic>
                    </a:graphicData>
                  </a:graphic>
                </wp:inline>
              </w:drawing>
            </w:r>
          </w:p>
        </w:tc>
        <w:tc>
          <w:tcPr>
            <w:tcW w:w="3337" w:type="dxa"/>
            <w:tcBorders>
              <w:left w:val="single" w:sz="4" w:space="0" w:color="44546A" w:themeColor="text2"/>
            </w:tcBorders>
            <w:shd w:val="clear" w:color="auto" w:fill="1F3864" w:themeFill="accent1" w:themeFillShade="80"/>
          </w:tcPr>
          <w:p w14:paraId="1059CE5E" w14:textId="08E43F51" w:rsidR="00742FA8" w:rsidRDefault="00742FA8" w:rsidP="00742FA8">
            <w:pPr>
              <w:jc w:val="right"/>
              <w:rPr>
                <w:rFonts w:cs="Arial"/>
                <w:color w:val="FFFFFF" w:themeColor="background1"/>
                <w:sz w:val="22"/>
                <w:szCs w:val="22"/>
                <w:shd w:val="clear" w:color="auto" w:fill="1F3864" w:themeFill="accent1" w:themeFillShade="80"/>
                <w:lang w:val="en-US"/>
              </w:rPr>
            </w:pPr>
          </w:p>
          <w:p w14:paraId="375DBCE6" w14:textId="22249F6B" w:rsidR="00742FA8" w:rsidRDefault="00742FA8" w:rsidP="00742FA8">
            <w:pPr>
              <w:jc w:val="right"/>
              <w:rPr>
                <w:rFonts w:cs="Arial"/>
                <w:color w:val="FFFFFF" w:themeColor="background1"/>
                <w:sz w:val="22"/>
                <w:szCs w:val="22"/>
                <w:shd w:val="clear" w:color="auto" w:fill="1F3864" w:themeFill="accent1" w:themeFillShade="80"/>
                <w:lang w:val="en-US"/>
              </w:rPr>
            </w:pPr>
          </w:p>
          <w:p w14:paraId="0505CFEC" w14:textId="77777777" w:rsidR="006D4BA9" w:rsidRDefault="006D4BA9" w:rsidP="006D4BA9">
            <w:pPr>
              <w:jc w:val="center"/>
              <w:rPr>
                <w:rFonts w:cs="Arial"/>
                <w:color w:val="FFFFFF" w:themeColor="background1"/>
                <w:sz w:val="32"/>
                <w:szCs w:val="32"/>
                <w:shd w:val="clear" w:color="auto" w:fill="1F3864" w:themeFill="accent1" w:themeFillShade="80"/>
                <w:lang w:val="en-US"/>
              </w:rPr>
            </w:pPr>
          </w:p>
          <w:p w14:paraId="6B26AC0C" w14:textId="15A1064C" w:rsidR="00742FA8" w:rsidRDefault="006D4BA9" w:rsidP="006D4BA9">
            <w:pPr>
              <w:jc w:val="center"/>
              <w:rPr>
                <w:rFonts w:cs="Arial"/>
                <w:color w:val="FFFFFF" w:themeColor="background1"/>
                <w:sz w:val="22"/>
                <w:szCs w:val="22"/>
                <w:shd w:val="clear" w:color="auto" w:fill="1F3864" w:themeFill="accent1" w:themeFillShade="80"/>
                <w:lang w:val="en-US"/>
              </w:rPr>
            </w:pPr>
            <w:r>
              <w:rPr>
                <w:rFonts w:cs="Arial"/>
                <w:color w:val="FFFFFF" w:themeColor="background1"/>
                <w:sz w:val="32"/>
                <w:szCs w:val="32"/>
                <w:shd w:val="clear" w:color="auto" w:fill="1F3864" w:themeFill="accent1" w:themeFillShade="80"/>
                <w:lang w:val="en-US"/>
              </w:rPr>
              <w:t>202</w:t>
            </w:r>
            <w:r w:rsidR="001F153F">
              <w:rPr>
                <w:rFonts w:cs="Arial"/>
                <w:color w:val="FFFFFF" w:themeColor="background1"/>
                <w:sz w:val="32"/>
                <w:szCs w:val="32"/>
                <w:shd w:val="clear" w:color="auto" w:fill="1F3864" w:themeFill="accent1" w:themeFillShade="80"/>
                <w:lang w:val="en-US"/>
              </w:rPr>
              <w:t>4</w:t>
            </w:r>
          </w:p>
          <w:p w14:paraId="4279D85E" w14:textId="77777777" w:rsidR="00742FA8" w:rsidRDefault="00742FA8" w:rsidP="00742FA8">
            <w:pPr>
              <w:jc w:val="right"/>
              <w:rPr>
                <w:rFonts w:cs="Arial"/>
                <w:color w:val="FFFFFF" w:themeColor="background1"/>
                <w:sz w:val="22"/>
                <w:szCs w:val="22"/>
                <w:shd w:val="clear" w:color="auto" w:fill="1F3864" w:themeFill="accent1" w:themeFillShade="80"/>
                <w:lang w:val="en-US"/>
              </w:rPr>
            </w:pPr>
          </w:p>
          <w:p w14:paraId="199C0FEC" w14:textId="30B75DA9" w:rsidR="00742FA8" w:rsidRDefault="00742FA8" w:rsidP="00742FA8">
            <w:pPr>
              <w:jc w:val="right"/>
              <w:rPr>
                <w:lang w:val="en-US"/>
              </w:rPr>
            </w:pPr>
          </w:p>
        </w:tc>
      </w:tr>
      <w:tr w:rsidR="00906B87" w:rsidRPr="003F1077" w14:paraId="425D15D4" w14:textId="77777777" w:rsidTr="00210BD6">
        <w:trPr>
          <w:trHeight w:val="652"/>
          <w:jc w:val="center"/>
        </w:trPr>
        <w:tc>
          <w:tcPr>
            <w:tcW w:w="10007" w:type="dxa"/>
            <w:gridSpan w:val="3"/>
          </w:tcPr>
          <w:p w14:paraId="2D5EC9E1" w14:textId="77777777" w:rsidR="005728A3" w:rsidRDefault="005728A3" w:rsidP="005728A3">
            <w:pPr>
              <w:jc w:val="right"/>
              <w:rPr>
                <w:rFonts w:cstheme="minorHAnsi"/>
                <w:b/>
                <w:bCs/>
                <w:color w:val="002060"/>
                <w:sz w:val="24"/>
                <w:szCs w:val="24"/>
                <w:lang w:val="en-US"/>
              </w:rPr>
            </w:pPr>
          </w:p>
          <w:p w14:paraId="2FA02905" w14:textId="2E527BA9" w:rsidR="005728A3" w:rsidRPr="006D4BA9" w:rsidRDefault="005728A3" w:rsidP="005728A3">
            <w:pPr>
              <w:jc w:val="right"/>
              <w:rPr>
                <w:rFonts w:cstheme="minorHAnsi"/>
                <w:b/>
                <w:bCs/>
                <w:color w:val="002060"/>
                <w:sz w:val="28"/>
                <w:szCs w:val="28"/>
                <w:lang w:val="en-US"/>
              </w:rPr>
            </w:pPr>
            <w:r w:rsidRPr="006D4BA9">
              <w:rPr>
                <w:rFonts w:cstheme="minorHAnsi"/>
                <w:b/>
                <w:bCs/>
                <w:color w:val="002060"/>
                <w:sz w:val="28"/>
                <w:szCs w:val="28"/>
                <w:lang w:val="en-US"/>
              </w:rPr>
              <w:t>Directorate General Human Rights and Rule of Law (DG I)</w:t>
            </w:r>
          </w:p>
          <w:p w14:paraId="6BB60EA7" w14:textId="77777777" w:rsidR="00906B87" w:rsidRDefault="00906B87" w:rsidP="005728A3">
            <w:pPr>
              <w:rPr>
                <w:rFonts w:cs="Arial"/>
                <w:color w:val="FFFFFF" w:themeColor="background1"/>
                <w:sz w:val="22"/>
                <w:szCs w:val="22"/>
                <w:shd w:val="clear" w:color="auto" w:fill="1F3864" w:themeFill="accent1" w:themeFillShade="80"/>
                <w:lang w:val="en-US"/>
              </w:rPr>
            </w:pPr>
          </w:p>
        </w:tc>
      </w:tr>
    </w:tbl>
    <w:p w14:paraId="6FF74EBB" w14:textId="77777777" w:rsidR="00742FA8" w:rsidRPr="00282225" w:rsidRDefault="00742FA8">
      <w:pPr>
        <w:rPr>
          <w:lang w:val="en-US"/>
        </w:rPr>
      </w:pPr>
    </w:p>
    <w:p w14:paraId="0B15158E" w14:textId="48A15008" w:rsidR="002027E7" w:rsidRDefault="002027E7">
      <w:pPr>
        <w:rPr>
          <w:lang w:val="en-US"/>
        </w:rPr>
      </w:pPr>
    </w:p>
    <w:tbl>
      <w:tblPr>
        <w:tblStyle w:val="TableGrid"/>
        <w:tblW w:w="10008" w:type="dxa"/>
        <w:jc w:val="center"/>
        <w:tblLook w:val="04A0" w:firstRow="1" w:lastRow="0" w:firstColumn="1" w:lastColumn="0" w:noHBand="0" w:noVBand="1"/>
      </w:tblPr>
      <w:tblGrid>
        <w:gridCol w:w="10008"/>
      </w:tblGrid>
      <w:tr w:rsidR="006D3771" w14:paraId="25C8B22E" w14:textId="77777777" w:rsidTr="00210BD6">
        <w:trPr>
          <w:trHeight w:val="249"/>
          <w:jc w:val="center"/>
        </w:trPr>
        <w:tc>
          <w:tcPr>
            <w:tcW w:w="10008" w:type="dxa"/>
            <w:shd w:val="clear" w:color="auto" w:fill="1F3864" w:themeFill="accent1" w:themeFillShade="80"/>
          </w:tcPr>
          <w:p w14:paraId="19F5558A" w14:textId="77777777" w:rsidR="006D3771" w:rsidRDefault="006D3771">
            <w:pPr>
              <w:rPr>
                <w:lang w:val="en-US"/>
              </w:rPr>
            </w:pPr>
          </w:p>
          <w:p w14:paraId="5BA8AE31" w14:textId="12795D62" w:rsidR="006D3771" w:rsidRPr="006D3771" w:rsidRDefault="00ED2EDB" w:rsidP="006D3771">
            <w:pPr>
              <w:jc w:val="center"/>
              <w:rPr>
                <w:sz w:val="32"/>
                <w:szCs w:val="32"/>
                <w:lang w:val="en-US"/>
              </w:rPr>
            </w:pPr>
            <w:r>
              <w:rPr>
                <w:sz w:val="32"/>
                <w:szCs w:val="32"/>
                <w:lang w:val="en-US"/>
              </w:rPr>
              <w:t>L</w:t>
            </w:r>
            <w:r w:rsidR="00647D6B">
              <w:rPr>
                <w:sz w:val="32"/>
                <w:szCs w:val="32"/>
                <w:lang w:val="en-US"/>
              </w:rPr>
              <w:t>uxembourg</w:t>
            </w:r>
          </w:p>
          <w:p w14:paraId="1EE0812F" w14:textId="73DF6167" w:rsidR="006D3771" w:rsidRDefault="006D3771">
            <w:pPr>
              <w:rPr>
                <w:lang w:val="en-US"/>
              </w:rPr>
            </w:pPr>
          </w:p>
        </w:tc>
      </w:tr>
    </w:tbl>
    <w:p w14:paraId="5BC2DC82" w14:textId="7135F9D1" w:rsidR="004A628B" w:rsidRDefault="004A628B" w:rsidP="004A628B">
      <w:pPr>
        <w:pStyle w:val="Heading1"/>
        <w:rPr>
          <w:lang w:val="en-US"/>
        </w:rPr>
      </w:pPr>
      <w:bookmarkStart w:id="0" w:name="_Toc36635809"/>
      <w:r>
        <w:rPr>
          <w:lang w:val="en-US"/>
        </w:rPr>
        <w:t xml:space="preserve">I </w:t>
      </w:r>
      <w:r w:rsidRPr="00546B57">
        <w:rPr>
          <w:lang w:val="en-US"/>
        </w:rPr>
        <w:t>Justice System</w:t>
      </w:r>
      <w:bookmarkEnd w:id="0"/>
      <w:r w:rsidRPr="00546B57">
        <w:rPr>
          <w:lang w:val="en-US"/>
        </w:rPr>
        <w:t xml:space="preserve"> </w:t>
      </w:r>
    </w:p>
    <w:p w14:paraId="5D9260C2" w14:textId="0BAA2017" w:rsidR="004A628B" w:rsidRDefault="004A628B" w:rsidP="004A628B">
      <w:pPr>
        <w:pStyle w:val="Default"/>
        <w:ind w:left="1080"/>
        <w:rPr>
          <w:color w:val="auto"/>
          <w:sz w:val="22"/>
          <w:szCs w:val="22"/>
          <w:lang w:val="en-US"/>
        </w:rPr>
      </w:pPr>
    </w:p>
    <w:p w14:paraId="1E30AD38" w14:textId="77777777" w:rsidR="005479DD" w:rsidRPr="005479DD" w:rsidRDefault="005479DD" w:rsidP="005479DD">
      <w:pPr>
        <w:pStyle w:val="Default"/>
        <w:jc w:val="both"/>
        <w:rPr>
          <w:rFonts w:asciiTheme="minorHAnsi" w:hAnsiTheme="minorHAnsi" w:cstheme="minorHAnsi"/>
          <w:color w:val="auto"/>
          <w:sz w:val="20"/>
          <w:szCs w:val="20"/>
          <w:lang w:val="en-US"/>
        </w:rPr>
      </w:pPr>
      <w:r w:rsidRPr="005479DD">
        <w:rPr>
          <w:rFonts w:asciiTheme="minorHAnsi" w:hAnsiTheme="minorHAnsi" w:cstheme="minorHAnsi"/>
          <w:color w:val="auto"/>
          <w:sz w:val="20"/>
          <w:szCs w:val="20"/>
          <w:lang w:val="en-US"/>
        </w:rPr>
        <w:t xml:space="preserve">The European Commission for the Efficiency of Justice (CEPEJ) regularly collects data on judicial systems. These data concern </w:t>
      </w:r>
      <w:proofErr w:type="gramStart"/>
      <w:r w:rsidRPr="005479DD">
        <w:rPr>
          <w:rFonts w:asciiTheme="minorHAnsi" w:hAnsiTheme="minorHAnsi" w:cstheme="minorHAnsi"/>
          <w:color w:val="auto"/>
          <w:sz w:val="20"/>
          <w:szCs w:val="20"/>
          <w:lang w:val="en-US"/>
        </w:rPr>
        <w:t>in particular the</w:t>
      </w:r>
      <w:proofErr w:type="gramEnd"/>
      <w:r w:rsidRPr="005479DD">
        <w:rPr>
          <w:rFonts w:asciiTheme="minorHAnsi" w:hAnsiTheme="minorHAnsi" w:cstheme="minorHAnsi"/>
          <w:color w:val="auto"/>
          <w:sz w:val="20"/>
          <w:szCs w:val="20"/>
          <w:lang w:val="en-US"/>
        </w:rPr>
        <w:t xml:space="preserve"> “quality of justice” (B part below), “efficiency of justice systems” (C part below) and also some aspects of “independence” (A part below). </w:t>
      </w:r>
    </w:p>
    <w:p w14:paraId="4C71EECC" w14:textId="77777777" w:rsidR="005479DD" w:rsidRPr="005479DD" w:rsidRDefault="005479DD" w:rsidP="005479DD">
      <w:pPr>
        <w:shd w:val="clear" w:color="auto" w:fill="FFFFFF"/>
        <w:spacing w:before="100" w:beforeAutospacing="1" w:after="100" w:afterAutospacing="1"/>
        <w:rPr>
          <w:rFonts w:cstheme="minorHAnsi"/>
          <w:color w:val="161616"/>
          <w:lang w:val="en-US"/>
        </w:rPr>
      </w:pPr>
      <w:r w:rsidRPr="005479DD">
        <w:rPr>
          <w:rFonts w:cstheme="minorHAnsi"/>
          <w:lang w:val="en-US"/>
        </w:rPr>
        <w:t>The 2023 data have not been collected and quality checked in 2023. Nevertheless, CEPEJ published in 2023 country profiles for each EU country, based on 2021 data, and prepared in the framework of CEPEJ Study for the 2023 EU Justice Scoreboard</w:t>
      </w:r>
      <w:r w:rsidRPr="005479DD">
        <w:rPr>
          <w:rFonts w:cstheme="minorHAnsi"/>
          <w:color w:val="161616"/>
          <w:lang w:val="en-US"/>
        </w:rPr>
        <w:t xml:space="preserve"> </w:t>
      </w:r>
      <w:hyperlink r:id="rId9" w:history="1">
        <w:r w:rsidRPr="005479DD">
          <w:rPr>
            <w:rStyle w:val="Hyperlink"/>
            <w:rFonts w:cstheme="minorHAnsi"/>
            <w:color w:val="007BC8"/>
            <w:lang w:val="en-US"/>
          </w:rPr>
          <w:t>CEPEJ Country fiche - Scoreboard - Luxembourg</w:t>
        </w:r>
      </w:hyperlink>
    </w:p>
    <w:p w14:paraId="49E2DD74" w14:textId="77777777" w:rsidR="005479DD" w:rsidRPr="005479DD" w:rsidRDefault="005479DD" w:rsidP="005479DD">
      <w:pPr>
        <w:pStyle w:val="Default"/>
        <w:jc w:val="both"/>
        <w:rPr>
          <w:rFonts w:asciiTheme="minorHAnsi" w:hAnsiTheme="minorHAnsi" w:cstheme="minorHAnsi"/>
          <w:color w:val="auto"/>
          <w:sz w:val="20"/>
          <w:szCs w:val="20"/>
          <w:lang w:val="en-US"/>
        </w:rPr>
      </w:pPr>
      <w:r w:rsidRPr="005479DD">
        <w:rPr>
          <w:rFonts w:asciiTheme="minorHAnsi" w:hAnsiTheme="minorHAnsi" w:cstheme="minorHAnsi"/>
          <w:color w:val="auto"/>
          <w:sz w:val="20"/>
          <w:szCs w:val="20"/>
          <w:lang w:val="en-US"/>
        </w:rPr>
        <w:t>The 2022 data have been collected, quality checked and sent to DG-JUST in the framework of the 2024 EU Justice Scoreboard. The publication of the country profiles based on 2022 data will depend on final acceptation of the CEPEJ Study by DG-JUST. The CEPEJ Secretariat (</w:t>
      </w:r>
      <w:hyperlink r:id="rId10" w:history="1">
        <w:r w:rsidRPr="005479DD">
          <w:rPr>
            <w:rStyle w:val="Hyperlink"/>
            <w:rFonts w:asciiTheme="minorHAnsi" w:hAnsiTheme="minorHAnsi" w:cstheme="minorHAnsi"/>
            <w:sz w:val="20"/>
            <w:szCs w:val="20"/>
            <w:lang w:val="en-US"/>
          </w:rPr>
          <w:t>christel.schurrer@coe.int</w:t>
        </w:r>
      </w:hyperlink>
      <w:r w:rsidRPr="005479DD">
        <w:rPr>
          <w:rFonts w:asciiTheme="minorHAnsi" w:hAnsiTheme="minorHAnsi" w:cstheme="minorHAnsi"/>
          <w:color w:val="auto"/>
          <w:sz w:val="20"/>
          <w:szCs w:val="20"/>
          <w:lang w:val="en-US"/>
        </w:rPr>
        <w:t xml:space="preserve">)  remains at the disposal of European Commission for any question related to these data. </w:t>
      </w:r>
    </w:p>
    <w:p w14:paraId="0E27A9C0" w14:textId="7A12A364" w:rsidR="00F4777C" w:rsidRPr="00E945BC" w:rsidRDefault="00F4777C" w:rsidP="00F4777C">
      <w:pPr>
        <w:rPr>
          <w:lang w:val="en-US"/>
        </w:rPr>
      </w:pPr>
    </w:p>
    <w:p w14:paraId="72E82771" w14:textId="49E82720" w:rsidR="007D22E2" w:rsidRDefault="007D22E2" w:rsidP="004A628B">
      <w:pPr>
        <w:pStyle w:val="Default"/>
        <w:rPr>
          <w:color w:val="auto"/>
          <w:sz w:val="22"/>
          <w:szCs w:val="22"/>
          <w:lang w:val="en-US"/>
        </w:rPr>
      </w:pPr>
    </w:p>
    <w:p w14:paraId="6A31D3AF" w14:textId="15D83FAA" w:rsidR="007F28E2" w:rsidRPr="003F1077" w:rsidRDefault="007F28E2" w:rsidP="004A628B">
      <w:pPr>
        <w:pStyle w:val="Default"/>
        <w:rPr>
          <w:rFonts w:asciiTheme="minorHAnsi" w:hAnsiTheme="minorHAnsi" w:cstheme="minorHAnsi"/>
          <w:color w:val="auto"/>
          <w:sz w:val="20"/>
          <w:szCs w:val="20"/>
          <w:lang w:val="en-US"/>
        </w:rPr>
      </w:pPr>
      <w:r w:rsidRPr="003F1077">
        <w:rPr>
          <w:rFonts w:asciiTheme="minorHAnsi" w:hAnsiTheme="minorHAnsi" w:cstheme="minorHAnsi"/>
          <w:color w:val="auto"/>
          <w:sz w:val="20"/>
          <w:szCs w:val="20"/>
          <w:lang w:val="en-US"/>
        </w:rPr>
        <w:t xml:space="preserve">Execution of judgments in </w:t>
      </w:r>
      <w:hyperlink r:id="rId11" w:history="1">
        <w:r w:rsidRPr="003F1077">
          <w:rPr>
            <w:rStyle w:val="Hyperlink"/>
            <w:rFonts w:asciiTheme="minorHAnsi" w:hAnsiTheme="minorHAnsi" w:cstheme="minorHAnsi"/>
            <w:sz w:val="20"/>
            <w:szCs w:val="20"/>
            <w:lang w:val="en-US"/>
          </w:rPr>
          <w:t>Luxembourg</w:t>
        </w:r>
      </w:hyperlink>
      <w:r w:rsidRPr="003F1077">
        <w:rPr>
          <w:rFonts w:asciiTheme="minorHAnsi" w:hAnsiTheme="minorHAnsi" w:cstheme="minorHAnsi"/>
          <w:color w:val="auto"/>
          <w:sz w:val="20"/>
          <w:szCs w:val="20"/>
          <w:lang w:val="en-US"/>
        </w:rPr>
        <w:t xml:space="preserve"> </w:t>
      </w:r>
    </w:p>
    <w:p w14:paraId="240F23CB" w14:textId="73DCF4B7" w:rsidR="007E41D4" w:rsidRDefault="007E41D4" w:rsidP="004A628B">
      <w:pPr>
        <w:pStyle w:val="Default"/>
        <w:rPr>
          <w:color w:val="auto"/>
          <w:sz w:val="22"/>
          <w:szCs w:val="22"/>
          <w:lang w:val="en-US"/>
        </w:rPr>
      </w:pPr>
    </w:p>
    <w:p w14:paraId="456FD32D" w14:textId="77777777" w:rsidR="007E41D4" w:rsidRPr="007E41D4" w:rsidRDefault="007E41D4" w:rsidP="007E41D4">
      <w:pPr>
        <w:autoSpaceDE w:val="0"/>
        <w:autoSpaceDN w:val="0"/>
        <w:adjustRightInd w:val="0"/>
        <w:spacing w:after="86"/>
        <w:jc w:val="both"/>
        <w:rPr>
          <w:rFonts w:eastAsia="Calibri" w:cstheme="minorHAnsi"/>
          <w:i/>
          <w:iCs/>
          <w:lang w:val="en-GB"/>
        </w:rPr>
      </w:pPr>
      <w:r w:rsidRPr="007E41D4">
        <w:rPr>
          <w:rFonts w:eastAsia="Calibri" w:cstheme="minorHAnsi"/>
          <w:i/>
          <w:iCs/>
          <w:lang w:val="en-GB"/>
        </w:rPr>
        <w:t>-Accessibility of courts</w:t>
      </w:r>
    </w:p>
    <w:p w14:paraId="6E053CC9" w14:textId="77777777" w:rsidR="007E41D4" w:rsidRPr="007E41D4" w:rsidRDefault="007E41D4" w:rsidP="007E41D4">
      <w:pPr>
        <w:autoSpaceDE w:val="0"/>
        <w:autoSpaceDN w:val="0"/>
        <w:adjustRightInd w:val="0"/>
        <w:spacing w:after="86"/>
        <w:jc w:val="both"/>
        <w:rPr>
          <w:rFonts w:eastAsia="Calibri" w:cstheme="minorHAnsi"/>
          <w:lang w:val="en-US"/>
        </w:rPr>
      </w:pPr>
      <w:r w:rsidRPr="007E41D4">
        <w:rPr>
          <w:rFonts w:eastAsia="Calibri" w:cstheme="minorHAnsi"/>
          <w:u w:val="single"/>
          <w:lang w:val="en-US"/>
        </w:rPr>
        <w:t>Foyer assurances S.A.</w:t>
      </w:r>
      <w:r w:rsidRPr="007E41D4">
        <w:rPr>
          <w:rFonts w:eastAsia="Calibri" w:cstheme="minorHAnsi"/>
          <w:lang w:val="en-US"/>
        </w:rPr>
        <w:t xml:space="preserve"> (</w:t>
      </w:r>
      <w:r w:rsidRPr="007E41D4">
        <w:rPr>
          <w:rFonts w:eastAsia="Calibri" w:cstheme="minorHAnsi"/>
          <w:lang w:val="en-GB"/>
        </w:rPr>
        <w:t>35245/18) (STAND) concerning excessive formalism of the Court of cassation.</w:t>
      </w:r>
    </w:p>
    <w:p w14:paraId="59F9EA3F" w14:textId="77777777" w:rsidR="007E41D4" w:rsidRPr="007E41D4" w:rsidRDefault="007E41D4" w:rsidP="007E41D4">
      <w:pPr>
        <w:autoSpaceDE w:val="0"/>
        <w:autoSpaceDN w:val="0"/>
        <w:adjustRightInd w:val="0"/>
        <w:spacing w:after="86"/>
        <w:jc w:val="both"/>
        <w:rPr>
          <w:rFonts w:eastAsia="Calibri" w:cstheme="minorHAnsi"/>
          <w:color w:val="0000FF"/>
          <w:u w:val="single"/>
          <w:lang w:val="en-US"/>
        </w:rPr>
      </w:pPr>
      <w:r w:rsidRPr="007E41D4">
        <w:rPr>
          <w:rFonts w:eastAsia="Calibri" w:cstheme="minorHAnsi"/>
          <w:lang w:val="en-US"/>
        </w:rPr>
        <w:t xml:space="preserve">Presentation on </w:t>
      </w:r>
      <w:proofErr w:type="spellStart"/>
      <w:r w:rsidRPr="007E41D4">
        <w:rPr>
          <w:rFonts w:eastAsia="Calibri" w:cstheme="minorHAnsi"/>
          <w:lang w:val="en-US"/>
        </w:rPr>
        <w:t>Hudoc.exec</w:t>
      </w:r>
      <w:proofErr w:type="spellEnd"/>
      <w:r w:rsidRPr="007E41D4">
        <w:rPr>
          <w:rFonts w:eastAsia="Calibri" w:cstheme="minorHAnsi"/>
          <w:lang w:val="en-US"/>
        </w:rPr>
        <w:t xml:space="preserve">: </w:t>
      </w:r>
      <w:hyperlink r:id="rId12" w:anchor="{%22fulltext%22:[%22foyer%22],%22execidentifier%22:[%22004-59506%22],%22execdocumenttypecollection%22:[%22CEC%22]}" w:history="1">
        <w:r w:rsidRPr="007E41D4">
          <w:rPr>
            <w:rStyle w:val="Hyperlink"/>
            <w:rFonts w:eastAsia="Calibri" w:cstheme="minorHAnsi"/>
            <w:lang w:val="en-US"/>
          </w:rPr>
          <w:t>Foyer Assurances S.A</w:t>
        </w:r>
      </w:hyperlink>
    </w:p>
    <w:p w14:paraId="639C5D35" w14:textId="77777777" w:rsidR="007E41D4" w:rsidRPr="007E41D4" w:rsidRDefault="00000000" w:rsidP="007E41D4">
      <w:pPr>
        <w:spacing w:line="259" w:lineRule="auto"/>
        <w:jc w:val="both"/>
        <w:rPr>
          <w:rFonts w:cstheme="minorHAnsi"/>
          <w:lang w:val="en-US"/>
        </w:rPr>
      </w:pPr>
      <w:hyperlink r:id="rId13" w:anchor="{%22fulltext%22:[%22McFarlane%22],%22display%22:[2],%22EXECIdentifier%22:[%22CM/Del/Dec(2020)1383/H46-10E%22]}" w:history="1">
        <w:r w:rsidR="007E41D4" w:rsidRPr="007E41D4">
          <w:rPr>
            <w:rFonts w:cstheme="minorHAnsi"/>
            <w:lang w:val="en-US"/>
          </w:rPr>
          <w:t>Latest decisions</w:t>
        </w:r>
      </w:hyperlink>
      <w:r w:rsidR="007E41D4" w:rsidRPr="007E41D4">
        <w:rPr>
          <w:rFonts w:cstheme="minorHAnsi"/>
          <w:lang w:val="en-US"/>
        </w:rPr>
        <w:t>: n/a</w:t>
      </w:r>
    </w:p>
    <w:p w14:paraId="00B0B0CB" w14:textId="77777777" w:rsidR="007E41D4" w:rsidRPr="007E41D4" w:rsidRDefault="007E41D4" w:rsidP="007E41D4">
      <w:pPr>
        <w:autoSpaceDE w:val="0"/>
        <w:autoSpaceDN w:val="0"/>
        <w:adjustRightInd w:val="0"/>
        <w:spacing w:after="86"/>
        <w:jc w:val="both"/>
        <w:rPr>
          <w:rStyle w:val="s4b8d41ee"/>
          <w:rFonts w:cstheme="minorHAnsi"/>
          <w:color w:val="000000"/>
          <w:shd w:val="clear" w:color="auto" w:fill="FFFFFF"/>
          <w:lang w:val="en-US"/>
        </w:rPr>
      </w:pPr>
      <w:r w:rsidRPr="007E41D4">
        <w:rPr>
          <w:rFonts w:eastAsia="Calibri" w:cstheme="minorHAnsi"/>
          <w:lang w:val="en-US"/>
        </w:rPr>
        <w:t xml:space="preserve">Latest information: </w:t>
      </w:r>
      <w:hyperlink r:id="rId14" w:tgtFrame="_blank" w:history="1">
        <w:r w:rsidRPr="007E41D4">
          <w:rPr>
            <w:rStyle w:val="s682a13c7"/>
            <w:rFonts w:cstheme="minorHAnsi"/>
            <w:color w:val="0000FF"/>
            <w:shd w:val="clear" w:color="auto" w:fill="FFFFFF"/>
            <w:lang w:val="en-US"/>
          </w:rPr>
          <w:t>DH-</w:t>
        </w:r>
        <w:proofErr w:type="gramStart"/>
        <w:r w:rsidRPr="007E41D4">
          <w:rPr>
            <w:rStyle w:val="s682a13c7"/>
            <w:rFonts w:cstheme="minorHAnsi"/>
            <w:color w:val="0000FF"/>
            <w:shd w:val="clear" w:color="auto" w:fill="FFFFFF"/>
            <w:lang w:val="en-US"/>
          </w:rPr>
          <w:t>DD(</w:t>
        </w:r>
        <w:proofErr w:type="gramEnd"/>
        <w:r w:rsidRPr="007E41D4">
          <w:rPr>
            <w:rStyle w:val="s682a13c7"/>
            <w:rFonts w:cstheme="minorHAnsi"/>
            <w:color w:val="0000FF"/>
            <w:shd w:val="clear" w:color="auto" w:fill="FFFFFF"/>
            <w:lang w:val="en-US"/>
          </w:rPr>
          <w:t>2022)749</w:t>
        </w:r>
      </w:hyperlink>
    </w:p>
    <w:p w14:paraId="157B1CDD" w14:textId="77777777" w:rsidR="007E41D4" w:rsidRPr="007E41D4" w:rsidRDefault="007E41D4" w:rsidP="007E41D4">
      <w:pPr>
        <w:autoSpaceDE w:val="0"/>
        <w:autoSpaceDN w:val="0"/>
        <w:adjustRightInd w:val="0"/>
        <w:spacing w:after="86"/>
        <w:jc w:val="both"/>
        <w:rPr>
          <w:rFonts w:eastAsia="Calibri" w:cstheme="minorHAnsi"/>
          <w:color w:val="0000FF"/>
          <w:u w:val="single"/>
          <w:lang w:val="en-US"/>
        </w:rPr>
      </w:pPr>
    </w:p>
    <w:p w14:paraId="2F0EF7D8" w14:textId="77777777" w:rsidR="007E41D4" w:rsidRPr="007E41D4" w:rsidRDefault="007E41D4" w:rsidP="007E41D4">
      <w:pPr>
        <w:autoSpaceDE w:val="0"/>
        <w:autoSpaceDN w:val="0"/>
        <w:adjustRightInd w:val="0"/>
        <w:spacing w:after="86"/>
        <w:jc w:val="both"/>
        <w:rPr>
          <w:rFonts w:eastAsia="Calibri" w:cstheme="minorHAnsi"/>
          <w:i/>
          <w:iCs/>
          <w:lang w:val="en-GB"/>
        </w:rPr>
      </w:pPr>
      <w:r w:rsidRPr="007E41D4">
        <w:rPr>
          <w:rFonts w:eastAsia="Calibri" w:cstheme="minorHAnsi"/>
          <w:i/>
          <w:iCs/>
          <w:lang w:val="en-GB"/>
        </w:rPr>
        <w:t>-Whistleblower protection</w:t>
      </w:r>
    </w:p>
    <w:p w14:paraId="6C46E93A" w14:textId="77777777" w:rsidR="007E41D4" w:rsidRPr="007E41D4" w:rsidRDefault="007E41D4" w:rsidP="007E41D4">
      <w:pPr>
        <w:autoSpaceDE w:val="0"/>
        <w:autoSpaceDN w:val="0"/>
        <w:adjustRightInd w:val="0"/>
        <w:spacing w:after="86"/>
        <w:jc w:val="both"/>
        <w:rPr>
          <w:rFonts w:eastAsia="Calibri" w:cstheme="minorHAnsi"/>
          <w:lang w:val="en-GB"/>
        </w:rPr>
      </w:pPr>
      <w:proofErr w:type="spellStart"/>
      <w:r w:rsidRPr="007E41D4">
        <w:rPr>
          <w:rFonts w:eastAsia="Calibri" w:cstheme="minorHAnsi"/>
          <w:u w:val="single"/>
          <w:lang w:val="en-GB"/>
        </w:rPr>
        <w:t>Halet</w:t>
      </w:r>
      <w:proofErr w:type="spellEnd"/>
      <w:r w:rsidRPr="007E41D4">
        <w:rPr>
          <w:rFonts w:eastAsia="Calibri" w:cstheme="minorHAnsi"/>
          <w:lang w:val="en-GB"/>
        </w:rPr>
        <w:t xml:space="preserve"> (21884/18) (STAND): violation of freedom of expression due to the criminal conviction in 2017 of the </w:t>
      </w:r>
      <w:proofErr w:type="gramStart"/>
      <w:r w:rsidRPr="007E41D4">
        <w:rPr>
          <w:rFonts w:eastAsia="Calibri" w:cstheme="minorHAnsi"/>
          <w:lang w:val="en-GB"/>
        </w:rPr>
        <w:t>applicant</w:t>
      </w:r>
      <w:proofErr w:type="gramEnd"/>
      <w:r w:rsidRPr="007E41D4">
        <w:rPr>
          <w:rFonts w:eastAsia="Calibri" w:cstheme="minorHAnsi"/>
          <w:lang w:val="en-GB"/>
        </w:rPr>
        <w:t xml:space="preserve"> as a whistleblower.</w:t>
      </w:r>
    </w:p>
    <w:p w14:paraId="776E50C3" w14:textId="77777777" w:rsidR="007E41D4" w:rsidRPr="007E41D4" w:rsidRDefault="007E41D4" w:rsidP="007E41D4">
      <w:pPr>
        <w:autoSpaceDE w:val="0"/>
        <w:autoSpaceDN w:val="0"/>
        <w:adjustRightInd w:val="0"/>
        <w:spacing w:after="86"/>
        <w:jc w:val="both"/>
        <w:rPr>
          <w:rFonts w:eastAsia="Calibri" w:cstheme="minorHAnsi"/>
          <w:color w:val="0000FF"/>
          <w:u w:val="single"/>
          <w:lang w:val="en-US"/>
        </w:rPr>
      </w:pPr>
      <w:r w:rsidRPr="007E41D4">
        <w:rPr>
          <w:rFonts w:eastAsia="Calibri" w:cstheme="minorHAnsi"/>
          <w:lang w:val="en-US"/>
        </w:rPr>
        <w:t xml:space="preserve">Presentation on </w:t>
      </w:r>
      <w:proofErr w:type="spellStart"/>
      <w:r w:rsidRPr="007E41D4">
        <w:rPr>
          <w:rFonts w:eastAsia="Calibri" w:cstheme="minorHAnsi"/>
          <w:lang w:val="en-US"/>
        </w:rPr>
        <w:t>Hudoc.exec</w:t>
      </w:r>
      <w:proofErr w:type="spellEnd"/>
      <w:r w:rsidRPr="007E41D4">
        <w:rPr>
          <w:rFonts w:eastAsia="Calibri" w:cstheme="minorHAnsi"/>
          <w:lang w:val="en-US"/>
        </w:rPr>
        <w:t xml:space="preserve">: </w:t>
      </w:r>
      <w:hyperlink r:id="rId15" w:anchor="{%22fulltext%22:[%22HALET%22],%22execidentifier%22:[%22004-62708%22],%22execdocumenttypecollection%22:[%22CEC%22]}" w:history="1">
        <w:proofErr w:type="spellStart"/>
        <w:r w:rsidRPr="007E41D4">
          <w:rPr>
            <w:rStyle w:val="Hyperlink"/>
            <w:rFonts w:eastAsia="Calibri" w:cstheme="minorHAnsi"/>
            <w:lang w:val="en-US"/>
          </w:rPr>
          <w:t>Halet</w:t>
        </w:r>
        <w:proofErr w:type="spellEnd"/>
      </w:hyperlink>
    </w:p>
    <w:p w14:paraId="5E1D46A5" w14:textId="77777777" w:rsidR="007E41D4" w:rsidRPr="007E41D4" w:rsidRDefault="00000000" w:rsidP="007E41D4">
      <w:pPr>
        <w:spacing w:line="259" w:lineRule="auto"/>
        <w:jc w:val="both"/>
        <w:rPr>
          <w:rFonts w:cstheme="minorHAnsi"/>
          <w:lang w:val="en-US"/>
        </w:rPr>
      </w:pPr>
      <w:hyperlink r:id="rId16" w:anchor="{%22fulltext%22:[%22McFarlane%22],%22display%22:[2],%22EXECIdentifier%22:[%22CM/Del/Dec(2020)1383/H46-10E%22]}" w:history="1">
        <w:r w:rsidR="007E41D4" w:rsidRPr="007E41D4">
          <w:rPr>
            <w:rFonts w:cstheme="minorHAnsi"/>
            <w:lang w:val="en-US"/>
          </w:rPr>
          <w:t>Latest decisions</w:t>
        </w:r>
      </w:hyperlink>
      <w:r w:rsidR="007E41D4" w:rsidRPr="007E41D4">
        <w:rPr>
          <w:rFonts w:cstheme="minorHAnsi"/>
          <w:lang w:val="en-US"/>
        </w:rPr>
        <w:t>: n/a</w:t>
      </w:r>
    </w:p>
    <w:p w14:paraId="7EA505BD" w14:textId="242C00E2" w:rsidR="007E41D4" w:rsidRPr="007E41D4" w:rsidRDefault="007E41D4" w:rsidP="007E41D4">
      <w:pPr>
        <w:pStyle w:val="Default"/>
        <w:rPr>
          <w:rFonts w:asciiTheme="minorHAnsi" w:hAnsiTheme="minorHAnsi" w:cstheme="minorHAnsi"/>
          <w:color w:val="auto"/>
          <w:sz w:val="22"/>
          <w:szCs w:val="22"/>
          <w:lang w:val="en-US"/>
        </w:rPr>
      </w:pPr>
      <w:r w:rsidRPr="007E41D4">
        <w:rPr>
          <w:rFonts w:asciiTheme="minorHAnsi" w:eastAsia="Calibri" w:hAnsiTheme="minorHAnsi" w:cstheme="minorHAnsi"/>
          <w:sz w:val="20"/>
          <w:szCs w:val="20"/>
          <w:lang w:val="en-GB"/>
        </w:rPr>
        <w:t xml:space="preserve">Latest </w:t>
      </w:r>
      <w:proofErr w:type="gramStart"/>
      <w:r w:rsidRPr="007E41D4">
        <w:rPr>
          <w:rFonts w:asciiTheme="minorHAnsi" w:eastAsia="Calibri" w:hAnsiTheme="minorHAnsi" w:cstheme="minorHAnsi"/>
          <w:sz w:val="20"/>
          <w:szCs w:val="20"/>
          <w:lang w:val="en-GB"/>
        </w:rPr>
        <w:t>information :</w:t>
      </w:r>
      <w:proofErr w:type="gramEnd"/>
      <w:r w:rsidRPr="007E41D4">
        <w:rPr>
          <w:rFonts w:asciiTheme="minorHAnsi" w:eastAsia="Calibri" w:hAnsiTheme="minorHAnsi" w:cstheme="minorHAnsi"/>
          <w:sz w:val="20"/>
          <w:szCs w:val="20"/>
          <w:lang w:val="en-GB"/>
        </w:rPr>
        <w:t xml:space="preserve"> </w:t>
      </w:r>
      <w:hyperlink r:id="rId17" w:tgtFrame="_blank" w:history="1">
        <w:r w:rsidRPr="007E41D4">
          <w:rPr>
            <w:rStyle w:val="s7c768949"/>
            <w:rFonts w:asciiTheme="minorHAnsi" w:hAnsiTheme="minorHAnsi" w:cstheme="minorHAnsi"/>
            <w:color w:val="0000FF"/>
            <w:sz w:val="20"/>
            <w:szCs w:val="20"/>
            <w:u w:val="single"/>
            <w:shd w:val="clear" w:color="auto" w:fill="FFFFFF"/>
            <w:lang w:val="en-GB"/>
          </w:rPr>
          <w:t>DH-DD(2023)1088</w:t>
        </w:r>
      </w:hyperlink>
    </w:p>
    <w:p w14:paraId="5C79AE80" w14:textId="69D278CD" w:rsidR="004A628B" w:rsidRDefault="004A628B" w:rsidP="004A628B">
      <w:pPr>
        <w:pStyle w:val="Heading1"/>
        <w:rPr>
          <w:lang w:val="en-US"/>
        </w:rPr>
      </w:pPr>
      <w:bookmarkStart w:id="1" w:name="_Toc36635832"/>
      <w:r>
        <w:rPr>
          <w:lang w:val="en-US"/>
        </w:rPr>
        <w:lastRenderedPageBreak/>
        <w:t xml:space="preserve">II </w:t>
      </w:r>
      <w:r w:rsidRPr="00546B57">
        <w:rPr>
          <w:lang w:val="en-US"/>
        </w:rPr>
        <w:t>Anti-corruption framework</w:t>
      </w:r>
      <w:bookmarkEnd w:id="1"/>
      <w:r w:rsidRPr="00546B57">
        <w:rPr>
          <w:lang w:val="en-US"/>
        </w:rPr>
        <w:t xml:space="preserve"> </w:t>
      </w:r>
    </w:p>
    <w:p w14:paraId="4328586A" w14:textId="77777777" w:rsidR="004A628B" w:rsidRPr="00546B57" w:rsidRDefault="004A628B" w:rsidP="004A628B">
      <w:pPr>
        <w:pStyle w:val="Default"/>
        <w:ind w:left="1080"/>
        <w:rPr>
          <w:color w:val="auto"/>
          <w:sz w:val="22"/>
          <w:szCs w:val="22"/>
          <w:lang w:val="en-US"/>
        </w:rPr>
      </w:pPr>
    </w:p>
    <w:p w14:paraId="6CD3525F" w14:textId="77777777" w:rsidR="0058311B" w:rsidRDefault="0058311B" w:rsidP="0058311B">
      <w:pPr>
        <w:pStyle w:val="Default"/>
        <w:rPr>
          <w:color w:val="auto"/>
          <w:sz w:val="20"/>
          <w:szCs w:val="20"/>
          <w:lang w:val="en-US"/>
        </w:rPr>
      </w:pPr>
      <w:r>
        <w:rPr>
          <w:color w:val="auto"/>
          <w:sz w:val="20"/>
          <w:szCs w:val="20"/>
          <w:lang w:val="en-US"/>
        </w:rPr>
        <w:t>GRECO (6 December 2023)</w:t>
      </w:r>
    </w:p>
    <w:p w14:paraId="020BF0B0" w14:textId="77777777" w:rsidR="0058311B" w:rsidRDefault="00000000" w:rsidP="0058311B">
      <w:pPr>
        <w:pStyle w:val="Default"/>
        <w:rPr>
          <w:color w:val="auto"/>
          <w:sz w:val="20"/>
          <w:szCs w:val="20"/>
          <w:lang w:val="en-US"/>
        </w:rPr>
      </w:pPr>
      <w:hyperlink r:id="rId18" w:history="1">
        <w:r w:rsidR="0058311B" w:rsidRPr="00A74165">
          <w:rPr>
            <w:rStyle w:val="Hyperlink"/>
            <w:rFonts w:eastAsia="Times New Roman"/>
            <w:sz w:val="20"/>
            <w:szCs w:val="20"/>
            <w:lang w:val="en-US" w:eastAsia="fr-FR"/>
          </w:rPr>
          <w:t>Addendum to the Second compliance Report</w:t>
        </w:r>
      </w:hyperlink>
    </w:p>
    <w:p w14:paraId="1F1D5240" w14:textId="77777777" w:rsidR="0058311B" w:rsidRPr="0065393E" w:rsidRDefault="0058311B" w:rsidP="0058311B">
      <w:pPr>
        <w:pStyle w:val="Default"/>
        <w:rPr>
          <w:color w:val="auto"/>
          <w:sz w:val="20"/>
          <w:szCs w:val="20"/>
          <w:lang w:val="en-US"/>
        </w:rPr>
      </w:pPr>
      <w:r w:rsidRPr="00E945BC">
        <w:rPr>
          <w:color w:val="auto"/>
          <w:sz w:val="20"/>
          <w:szCs w:val="20"/>
          <w:lang w:val="en-US"/>
        </w:rPr>
        <w:t>4</w:t>
      </w:r>
      <w:r w:rsidRPr="00E945BC">
        <w:rPr>
          <w:color w:val="auto"/>
          <w:sz w:val="20"/>
          <w:szCs w:val="20"/>
          <w:vertAlign w:val="superscript"/>
          <w:lang w:val="en-US"/>
        </w:rPr>
        <w:t>th</w:t>
      </w:r>
      <w:r w:rsidRPr="00E945BC">
        <w:rPr>
          <w:color w:val="auto"/>
          <w:sz w:val="20"/>
          <w:szCs w:val="20"/>
          <w:lang w:val="en-US"/>
        </w:rPr>
        <w:t xml:space="preserve"> round: Second interim compliance report corruption prevention in respect of MPs, </w:t>
      </w:r>
      <w:proofErr w:type="gramStart"/>
      <w:r w:rsidRPr="00E945BC">
        <w:rPr>
          <w:color w:val="auto"/>
          <w:sz w:val="20"/>
          <w:szCs w:val="20"/>
          <w:lang w:val="en-US"/>
        </w:rPr>
        <w:t>judges</w:t>
      </w:r>
      <w:proofErr w:type="gramEnd"/>
      <w:r w:rsidRPr="00E945BC">
        <w:rPr>
          <w:color w:val="auto"/>
          <w:sz w:val="20"/>
          <w:szCs w:val="20"/>
          <w:lang w:val="en-US"/>
        </w:rPr>
        <w:t xml:space="preserve"> and prosecutors</w:t>
      </w:r>
    </w:p>
    <w:p w14:paraId="3F6BD86F" w14:textId="77777777" w:rsidR="007F28E2" w:rsidRDefault="007F28E2" w:rsidP="004A628B">
      <w:pPr>
        <w:pStyle w:val="Default"/>
        <w:rPr>
          <w:color w:val="auto"/>
          <w:sz w:val="22"/>
          <w:szCs w:val="22"/>
          <w:lang w:val="en-US"/>
        </w:rPr>
      </w:pPr>
    </w:p>
    <w:p w14:paraId="3F060345" w14:textId="300DA87F" w:rsidR="004A628B" w:rsidRDefault="001D0AE0" w:rsidP="004A628B">
      <w:pPr>
        <w:pStyle w:val="Heading1"/>
        <w:rPr>
          <w:lang w:val="en-US"/>
        </w:rPr>
      </w:pPr>
      <w:bookmarkStart w:id="2" w:name="_Toc36635845"/>
      <w:r>
        <w:rPr>
          <w:lang w:val="en-US"/>
        </w:rPr>
        <w:t xml:space="preserve">III </w:t>
      </w:r>
      <w:r w:rsidR="004A628B" w:rsidRPr="00546B57">
        <w:rPr>
          <w:lang w:val="en-US"/>
        </w:rPr>
        <w:t>Media pluralism</w:t>
      </w:r>
      <w:bookmarkEnd w:id="2"/>
      <w:r w:rsidR="004A628B" w:rsidRPr="00546B57">
        <w:rPr>
          <w:lang w:val="en-US"/>
        </w:rPr>
        <w:t xml:space="preserve"> </w:t>
      </w:r>
    </w:p>
    <w:p w14:paraId="64B8480E" w14:textId="522561F9" w:rsidR="004A628B" w:rsidRDefault="004A628B" w:rsidP="004A628B">
      <w:pPr>
        <w:pStyle w:val="Default"/>
        <w:ind w:left="1080"/>
        <w:rPr>
          <w:color w:val="auto"/>
          <w:sz w:val="22"/>
          <w:szCs w:val="22"/>
          <w:lang w:val="en-US"/>
        </w:rPr>
      </w:pPr>
    </w:p>
    <w:p w14:paraId="2EA02C9E" w14:textId="77777777" w:rsidR="00844049" w:rsidRPr="00844049" w:rsidRDefault="00000000" w:rsidP="00844049">
      <w:pPr>
        <w:widowControl w:val="0"/>
        <w:suppressAutoHyphens/>
        <w:jc w:val="both"/>
        <w:rPr>
          <w:rFonts w:eastAsiaTheme="minorHAnsi" w:cstheme="minorHAnsi"/>
          <w:b/>
          <w:bCs/>
          <w:lang w:val="en-GB"/>
        </w:rPr>
      </w:pPr>
      <w:hyperlink r:id="rId19" w:anchor="%7B%22tabview%22:%5B%22document%22%5D,%22itemid%22:%5B%22001-223259%22%5D%7D">
        <w:r w:rsidR="00844049" w:rsidRPr="00844049">
          <w:rPr>
            <w:rStyle w:val="Hyperlink"/>
            <w:rFonts w:eastAsiaTheme="minorHAnsi" w:cstheme="minorHAnsi"/>
            <w:b/>
            <w:bCs/>
            <w:lang w:val="en-GB"/>
          </w:rPr>
          <w:t>CASE OF HALET v. LUXEMBOURG</w:t>
        </w:r>
      </w:hyperlink>
    </w:p>
    <w:p w14:paraId="51DC65CA" w14:textId="77777777" w:rsidR="00844049" w:rsidRPr="00844049" w:rsidRDefault="00844049" w:rsidP="00844049">
      <w:pPr>
        <w:jc w:val="both"/>
        <w:rPr>
          <w:rFonts w:eastAsiaTheme="minorHAnsi" w:cstheme="minorHAnsi"/>
          <w:lang w:val="en-GB"/>
        </w:rPr>
      </w:pPr>
      <w:r w:rsidRPr="00844049">
        <w:rPr>
          <w:rFonts w:eastAsiaTheme="minorHAnsi" w:cstheme="minorHAnsi"/>
          <w:lang w:val="en-GB"/>
        </w:rPr>
        <w:t xml:space="preserve">The case concerned a criminally convicted whistle-blower who had come forward in relation to the tax practices of multinational companies. The Luxembourg Court of Appeal had found that the public interest in disclosure was insufficient to justify the damage suffered by the employer, which was reaffirmed by the ECtHR at first instance. The ECtHR Grand Chamber found that the public interest in disclosure did outweigh the damage arising from it given the public interest in tax practices of large multinationals. Therefore, the interference with the applicant’s right to impart information had not been necessary in a democratic society. </w:t>
      </w:r>
    </w:p>
    <w:p w14:paraId="0F39DFA9" w14:textId="77777777" w:rsidR="00844049" w:rsidRPr="00844049" w:rsidRDefault="00844049" w:rsidP="00844049">
      <w:pPr>
        <w:widowControl w:val="0"/>
        <w:suppressAutoHyphens/>
        <w:jc w:val="both"/>
        <w:rPr>
          <w:rFonts w:eastAsiaTheme="minorHAnsi" w:cstheme="minorHAnsi"/>
          <w:lang w:val="en-GB"/>
        </w:rPr>
      </w:pPr>
      <w:r w:rsidRPr="00844049">
        <w:rPr>
          <w:rFonts w:eastAsiaTheme="minorHAnsi" w:cstheme="minorHAnsi"/>
          <w:b/>
          <w:bCs/>
          <w:lang w:val="en-GB"/>
        </w:rPr>
        <w:t xml:space="preserve">Violation of Article 10 ECHR. </w:t>
      </w:r>
    </w:p>
    <w:p w14:paraId="4C06DB80" w14:textId="2DD3BA55" w:rsidR="004A628B" w:rsidRPr="007F28E2" w:rsidRDefault="004A628B" w:rsidP="007F28E2">
      <w:pPr>
        <w:autoSpaceDE w:val="0"/>
        <w:autoSpaceDN w:val="0"/>
        <w:adjustRightInd w:val="0"/>
        <w:jc w:val="both"/>
        <w:rPr>
          <w:rFonts w:eastAsiaTheme="minorHAnsi" w:cstheme="minorHAnsi"/>
          <w:lang w:val="en-GB"/>
        </w:rPr>
      </w:pPr>
    </w:p>
    <w:p w14:paraId="3E1F9863" w14:textId="5E99548F" w:rsidR="004A628B" w:rsidRDefault="004A628B" w:rsidP="004A628B">
      <w:pPr>
        <w:pStyle w:val="Heading1"/>
        <w:rPr>
          <w:lang w:val="en-US"/>
        </w:rPr>
      </w:pPr>
      <w:bookmarkStart w:id="3" w:name="_Toc36635858"/>
      <w:r>
        <w:rPr>
          <w:lang w:val="en-US"/>
        </w:rPr>
        <w:t>I</w:t>
      </w:r>
      <w:r w:rsidR="001D0AE0">
        <w:rPr>
          <w:lang w:val="en-US"/>
        </w:rPr>
        <w:t>V</w:t>
      </w:r>
      <w:r>
        <w:rPr>
          <w:lang w:val="en-US"/>
        </w:rPr>
        <w:t xml:space="preserve"> </w:t>
      </w:r>
      <w:r w:rsidRPr="00546B57">
        <w:rPr>
          <w:lang w:val="en-US"/>
        </w:rPr>
        <w:t xml:space="preserve">Other institutional issues related to checks and </w:t>
      </w:r>
      <w:proofErr w:type="gramStart"/>
      <w:r w:rsidRPr="00546B57">
        <w:rPr>
          <w:lang w:val="en-US"/>
        </w:rPr>
        <w:t>balances</w:t>
      </w:r>
      <w:bookmarkEnd w:id="3"/>
      <w:proofErr w:type="gramEnd"/>
      <w:r w:rsidRPr="00546B57">
        <w:rPr>
          <w:lang w:val="en-US"/>
        </w:rPr>
        <w:t xml:space="preserve"> </w:t>
      </w:r>
    </w:p>
    <w:p w14:paraId="3B4DEC28" w14:textId="37699E30" w:rsidR="007F28E2" w:rsidRDefault="007F28E2" w:rsidP="007F28E2">
      <w:pPr>
        <w:rPr>
          <w:lang w:val="en-US"/>
        </w:rPr>
      </w:pPr>
    </w:p>
    <w:p w14:paraId="462D5E24" w14:textId="77777777" w:rsidR="007F28E2" w:rsidRPr="007F28E2" w:rsidRDefault="007F28E2" w:rsidP="007F28E2">
      <w:pPr>
        <w:autoSpaceDE w:val="0"/>
        <w:autoSpaceDN w:val="0"/>
        <w:adjustRightInd w:val="0"/>
        <w:jc w:val="both"/>
        <w:rPr>
          <w:rFonts w:eastAsiaTheme="minorHAnsi" w:cstheme="minorHAnsi"/>
          <w:lang w:val="en-GB"/>
        </w:rPr>
      </w:pPr>
      <w:r>
        <w:rPr>
          <w:rFonts w:eastAsiaTheme="minorHAnsi" w:cstheme="minorHAnsi"/>
          <w:lang w:val="en-GB"/>
        </w:rPr>
        <w:t xml:space="preserve">N/A </w:t>
      </w:r>
    </w:p>
    <w:p w14:paraId="69E6613D" w14:textId="77777777" w:rsidR="007F28E2" w:rsidRPr="007F28E2" w:rsidRDefault="007F28E2" w:rsidP="007F28E2">
      <w:pPr>
        <w:rPr>
          <w:lang w:val="en-US"/>
        </w:rPr>
      </w:pPr>
    </w:p>
    <w:p w14:paraId="75D88022" w14:textId="22A909C2" w:rsidR="000A60CF" w:rsidRPr="000A60CF" w:rsidRDefault="000A60CF" w:rsidP="007F28E2">
      <w:pPr>
        <w:pStyle w:val="Heading2"/>
        <w:rPr>
          <w:lang w:val="en-US"/>
        </w:rPr>
      </w:pPr>
    </w:p>
    <w:p w14:paraId="30D2EC4D" w14:textId="77777777" w:rsidR="001A0B36" w:rsidRPr="001A0B36" w:rsidRDefault="001A0B36">
      <w:pPr>
        <w:rPr>
          <w:rFonts w:cs="Arial"/>
          <w:color w:val="FFFFFF" w:themeColor="background1"/>
          <w:sz w:val="22"/>
          <w:szCs w:val="22"/>
          <w:shd w:val="clear" w:color="auto" w:fill="1F3864" w:themeFill="accent1" w:themeFillShade="80"/>
          <w:lang w:val="en-GB"/>
        </w:rPr>
      </w:pPr>
    </w:p>
    <w:sectPr w:rsidR="001A0B36" w:rsidRPr="001A0B36" w:rsidSect="007B3B82">
      <w:footerReference w:type="default" r:id="rId20"/>
      <w:footerReference w:type="first" r:id="rId21"/>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DE496" w14:textId="77777777" w:rsidR="00E86832" w:rsidRDefault="00E86832" w:rsidP="00857FF1">
      <w:r>
        <w:separator/>
      </w:r>
    </w:p>
  </w:endnote>
  <w:endnote w:type="continuationSeparator" w:id="0">
    <w:p w14:paraId="686F03C2" w14:textId="77777777" w:rsidR="00E86832" w:rsidRDefault="00E86832" w:rsidP="0085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6044907"/>
      <w:docPartObj>
        <w:docPartGallery w:val="Page Numbers (Bottom of Page)"/>
        <w:docPartUnique/>
      </w:docPartObj>
    </w:sdtPr>
    <w:sdtEndPr>
      <w:rPr>
        <w:sz w:val="16"/>
        <w:szCs w:val="16"/>
      </w:rPr>
    </w:sdtEndPr>
    <w:sdtContent>
      <w:p w14:paraId="6FE33E47" w14:textId="51729852" w:rsidR="0021059A" w:rsidRPr="0021059A" w:rsidRDefault="0021059A">
        <w:pPr>
          <w:pStyle w:val="Footer"/>
          <w:jc w:val="right"/>
          <w:rPr>
            <w:sz w:val="16"/>
            <w:szCs w:val="16"/>
          </w:rPr>
        </w:pPr>
        <w:r w:rsidRPr="0021059A">
          <w:rPr>
            <w:sz w:val="16"/>
            <w:szCs w:val="16"/>
          </w:rPr>
          <w:fldChar w:fldCharType="begin"/>
        </w:r>
        <w:r w:rsidRPr="0021059A">
          <w:rPr>
            <w:sz w:val="16"/>
            <w:szCs w:val="16"/>
          </w:rPr>
          <w:instrText>PAGE   \* MERGEFORMAT</w:instrText>
        </w:r>
        <w:r w:rsidRPr="0021059A">
          <w:rPr>
            <w:sz w:val="16"/>
            <w:szCs w:val="16"/>
          </w:rPr>
          <w:fldChar w:fldCharType="separate"/>
        </w:r>
        <w:r w:rsidRPr="0021059A">
          <w:rPr>
            <w:sz w:val="16"/>
            <w:szCs w:val="16"/>
          </w:rPr>
          <w:t>2</w:t>
        </w:r>
        <w:r w:rsidRPr="0021059A">
          <w:rPr>
            <w:sz w:val="16"/>
            <w:szCs w:val="16"/>
          </w:rPr>
          <w:fldChar w:fldCharType="end"/>
        </w:r>
      </w:p>
    </w:sdtContent>
  </w:sdt>
  <w:p w14:paraId="13BE177D" w14:textId="77777777" w:rsidR="0021059A" w:rsidRDefault="002105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6D93C" w14:textId="1ADF8D41" w:rsidR="007B3B82" w:rsidRDefault="007B3B82">
    <w:pPr>
      <w:pStyle w:val="Footer"/>
      <w:jc w:val="right"/>
    </w:pPr>
  </w:p>
  <w:p w14:paraId="7493B751" w14:textId="77777777" w:rsidR="007B3B82" w:rsidRDefault="007B3B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4AD81E" w14:textId="77777777" w:rsidR="00E86832" w:rsidRDefault="00E86832" w:rsidP="00857FF1">
      <w:r>
        <w:separator/>
      </w:r>
    </w:p>
  </w:footnote>
  <w:footnote w:type="continuationSeparator" w:id="0">
    <w:p w14:paraId="320FFEE2" w14:textId="77777777" w:rsidR="00E86832" w:rsidRDefault="00E86832" w:rsidP="00857F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76B68"/>
    <w:multiLevelType w:val="hybridMultilevel"/>
    <w:tmpl w:val="240C69B2"/>
    <w:lvl w:ilvl="0" w:tplc="29F4D8F8">
      <w:start w:val="1"/>
      <w:numFmt w:val="decimal"/>
      <w:lvlText w:val="%1."/>
      <w:lvlJc w:val="left"/>
      <w:pPr>
        <w:ind w:left="720" w:hanging="360"/>
      </w:pPr>
    </w:lvl>
    <w:lvl w:ilvl="1" w:tplc="5F9682A0">
      <w:start w:val="1"/>
      <w:numFmt w:val="lowerLetter"/>
      <w:lvlText w:val="%2."/>
      <w:lvlJc w:val="left"/>
      <w:pPr>
        <w:ind w:left="1440" w:hanging="360"/>
      </w:pPr>
    </w:lvl>
    <w:lvl w:ilvl="2" w:tplc="C7220158">
      <w:start w:val="1"/>
      <w:numFmt w:val="lowerRoman"/>
      <w:lvlText w:val="%3."/>
      <w:lvlJc w:val="right"/>
      <w:pPr>
        <w:ind w:left="2160" w:hanging="180"/>
      </w:pPr>
    </w:lvl>
    <w:lvl w:ilvl="3" w:tplc="DF068E62">
      <w:start w:val="1"/>
      <w:numFmt w:val="decimal"/>
      <w:lvlText w:val="%4."/>
      <w:lvlJc w:val="left"/>
      <w:pPr>
        <w:ind w:left="2880" w:hanging="360"/>
      </w:pPr>
    </w:lvl>
    <w:lvl w:ilvl="4" w:tplc="BF00FA22">
      <w:start w:val="1"/>
      <w:numFmt w:val="lowerLetter"/>
      <w:lvlText w:val="%5."/>
      <w:lvlJc w:val="left"/>
      <w:pPr>
        <w:ind w:left="3600" w:hanging="360"/>
      </w:pPr>
    </w:lvl>
    <w:lvl w:ilvl="5" w:tplc="902E99CE">
      <w:start w:val="1"/>
      <w:numFmt w:val="lowerRoman"/>
      <w:lvlText w:val="%6."/>
      <w:lvlJc w:val="right"/>
      <w:pPr>
        <w:ind w:left="4320" w:hanging="180"/>
      </w:pPr>
    </w:lvl>
    <w:lvl w:ilvl="6" w:tplc="2472ABDA">
      <w:start w:val="1"/>
      <w:numFmt w:val="decimal"/>
      <w:lvlText w:val="%7."/>
      <w:lvlJc w:val="left"/>
      <w:pPr>
        <w:ind w:left="5040" w:hanging="360"/>
      </w:pPr>
    </w:lvl>
    <w:lvl w:ilvl="7" w:tplc="5B703CC4">
      <w:start w:val="1"/>
      <w:numFmt w:val="lowerLetter"/>
      <w:lvlText w:val="%8."/>
      <w:lvlJc w:val="left"/>
      <w:pPr>
        <w:ind w:left="5760" w:hanging="360"/>
      </w:pPr>
    </w:lvl>
    <w:lvl w:ilvl="8" w:tplc="8556AECE">
      <w:start w:val="1"/>
      <w:numFmt w:val="lowerRoman"/>
      <w:lvlText w:val="%9."/>
      <w:lvlJc w:val="right"/>
      <w:pPr>
        <w:ind w:left="6480" w:hanging="180"/>
      </w:pPr>
    </w:lvl>
  </w:abstractNum>
  <w:abstractNum w:abstractNumId="1" w15:restartNumberingAfterBreak="0">
    <w:nsid w:val="0A8F53C7"/>
    <w:multiLevelType w:val="hybridMultilevel"/>
    <w:tmpl w:val="6920601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0BA85205"/>
    <w:multiLevelType w:val="hybridMultilevel"/>
    <w:tmpl w:val="C56AE67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0D133385"/>
    <w:multiLevelType w:val="hybridMultilevel"/>
    <w:tmpl w:val="6C66E2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224036DA"/>
    <w:multiLevelType w:val="hybridMultilevel"/>
    <w:tmpl w:val="F390826C"/>
    <w:lvl w:ilvl="0" w:tplc="E6B2EA2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C3348FD"/>
    <w:multiLevelType w:val="hybridMultilevel"/>
    <w:tmpl w:val="E66E9ED6"/>
    <w:lvl w:ilvl="0" w:tplc="FEDAACE6">
      <w:start w:val="1"/>
      <w:numFmt w:val="bullet"/>
      <w:pStyle w:val="COEHI"/>
      <w:lvlText w:val="–"/>
      <w:lvlJc w:val="left"/>
      <w:pPr>
        <w:tabs>
          <w:tab w:val="num" w:pos="960"/>
        </w:tabs>
        <w:ind w:left="960" w:hanging="480"/>
      </w:pPr>
      <w:rPr>
        <w:rFonts w:ascii="Times New Roman" w:hAnsi="Times New Roman" w:cs="Times New Roman" w:hint="default"/>
        <w:lang w:val="fr-FR"/>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C27BB8"/>
    <w:multiLevelType w:val="hybridMultilevel"/>
    <w:tmpl w:val="1A4EABD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39884890"/>
    <w:multiLevelType w:val="hybridMultilevel"/>
    <w:tmpl w:val="041015EA"/>
    <w:lvl w:ilvl="0" w:tplc="89FAE66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4A7F8792"/>
    <w:multiLevelType w:val="hybridMultilevel"/>
    <w:tmpl w:val="E848AB86"/>
    <w:lvl w:ilvl="0" w:tplc="C8EA4D34">
      <w:start w:val="1"/>
      <w:numFmt w:val="bullet"/>
      <w:lvlText w:val=""/>
      <w:lvlJc w:val="left"/>
      <w:pPr>
        <w:ind w:left="720" w:hanging="360"/>
      </w:pPr>
      <w:rPr>
        <w:rFonts w:ascii="Symbol" w:hAnsi="Symbol" w:hint="default"/>
      </w:rPr>
    </w:lvl>
    <w:lvl w:ilvl="1" w:tplc="3774CA4A">
      <w:start w:val="1"/>
      <w:numFmt w:val="bullet"/>
      <w:lvlText w:val="o"/>
      <w:lvlJc w:val="left"/>
      <w:pPr>
        <w:ind w:left="1440" w:hanging="360"/>
      </w:pPr>
      <w:rPr>
        <w:rFonts w:ascii="Courier New" w:hAnsi="Courier New" w:hint="default"/>
      </w:rPr>
    </w:lvl>
    <w:lvl w:ilvl="2" w:tplc="1FB4B2DE">
      <w:start w:val="1"/>
      <w:numFmt w:val="bullet"/>
      <w:lvlText w:val=""/>
      <w:lvlJc w:val="left"/>
      <w:pPr>
        <w:ind w:left="2160" w:hanging="360"/>
      </w:pPr>
      <w:rPr>
        <w:rFonts w:ascii="Wingdings" w:hAnsi="Wingdings" w:hint="default"/>
      </w:rPr>
    </w:lvl>
    <w:lvl w:ilvl="3" w:tplc="5E9C0854">
      <w:start w:val="1"/>
      <w:numFmt w:val="bullet"/>
      <w:lvlText w:val=""/>
      <w:lvlJc w:val="left"/>
      <w:pPr>
        <w:ind w:left="2880" w:hanging="360"/>
      </w:pPr>
      <w:rPr>
        <w:rFonts w:ascii="Symbol" w:hAnsi="Symbol" w:hint="default"/>
      </w:rPr>
    </w:lvl>
    <w:lvl w:ilvl="4" w:tplc="C3562E2E">
      <w:start w:val="1"/>
      <w:numFmt w:val="bullet"/>
      <w:lvlText w:val="o"/>
      <w:lvlJc w:val="left"/>
      <w:pPr>
        <w:ind w:left="3600" w:hanging="360"/>
      </w:pPr>
      <w:rPr>
        <w:rFonts w:ascii="Courier New" w:hAnsi="Courier New" w:hint="default"/>
      </w:rPr>
    </w:lvl>
    <w:lvl w:ilvl="5" w:tplc="DFE4CEFE">
      <w:start w:val="1"/>
      <w:numFmt w:val="bullet"/>
      <w:lvlText w:val=""/>
      <w:lvlJc w:val="left"/>
      <w:pPr>
        <w:ind w:left="4320" w:hanging="360"/>
      </w:pPr>
      <w:rPr>
        <w:rFonts w:ascii="Wingdings" w:hAnsi="Wingdings" w:hint="default"/>
      </w:rPr>
    </w:lvl>
    <w:lvl w:ilvl="6" w:tplc="9202DD8E">
      <w:start w:val="1"/>
      <w:numFmt w:val="bullet"/>
      <w:lvlText w:val=""/>
      <w:lvlJc w:val="left"/>
      <w:pPr>
        <w:ind w:left="5040" w:hanging="360"/>
      </w:pPr>
      <w:rPr>
        <w:rFonts w:ascii="Symbol" w:hAnsi="Symbol" w:hint="default"/>
      </w:rPr>
    </w:lvl>
    <w:lvl w:ilvl="7" w:tplc="38A21EFA">
      <w:start w:val="1"/>
      <w:numFmt w:val="bullet"/>
      <w:lvlText w:val="o"/>
      <w:lvlJc w:val="left"/>
      <w:pPr>
        <w:ind w:left="5760" w:hanging="360"/>
      </w:pPr>
      <w:rPr>
        <w:rFonts w:ascii="Courier New" w:hAnsi="Courier New" w:hint="default"/>
      </w:rPr>
    </w:lvl>
    <w:lvl w:ilvl="8" w:tplc="E3F24FB8">
      <w:start w:val="1"/>
      <w:numFmt w:val="bullet"/>
      <w:lvlText w:val=""/>
      <w:lvlJc w:val="left"/>
      <w:pPr>
        <w:ind w:left="6480" w:hanging="360"/>
      </w:pPr>
      <w:rPr>
        <w:rFonts w:ascii="Wingdings" w:hAnsi="Wingdings" w:hint="default"/>
      </w:rPr>
    </w:lvl>
  </w:abstractNum>
  <w:num w:numId="1" w16cid:durableId="12984170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73305639">
    <w:abstractNumId w:val="3"/>
  </w:num>
  <w:num w:numId="3" w16cid:durableId="474496143">
    <w:abstractNumId w:val="4"/>
  </w:num>
  <w:num w:numId="4" w16cid:durableId="509180329">
    <w:abstractNumId w:val="7"/>
  </w:num>
  <w:num w:numId="5" w16cid:durableId="1911572959">
    <w:abstractNumId w:val="5"/>
  </w:num>
  <w:num w:numId="6" w16cid:durableId="390465448">
    <w:abstractNumId w:val="5"/>
  </w:num>
  <w:num w:numId="7" w16cid:durableId="211499085">
    <w:abstractNumId w:val="2"/>
  </w:num>
  <w:num w:numId="8" w16cid:durableId="1117021697">
    <w:abstractNumId w:val="6"/>
  </w:num>
  <w:num w:numId="9" w16cid:durableId="1411391064">
    <w:abstractNumId w:val="8"/>
  </w:num>
  <w:num w:numId="10" w16cid:durableId="10455647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7E7"/>
    <w:rsid w:val="000067E5"/>
    <w:rsid w:val="000154A9"/>
    <w:rsid w:val="000164B3"/>
    <w:rsid w:val="0002205E"/>
    <w:rsid w:val="00046A0E"/>
    <w:rsid w:val="00047F74"/>
    <w:rsid w:val="00057AA5"/>
    <w:rsid w:val="00072F0E"/>
    <w:rsid w:val="00074D08"/>
    <w:rsid w:val="00083558"/>
    <w:rsid w:val="000A0534"/>
    <w:rsid w:val="000A60CF"/>
    <w:rsid w:val="000C407C"/>
    <w:rsid w:val="000E51C1"/>
    <w:rsid w:val="000E78E1"/>
    <w:rsid w:val="0011349E"/>
    <w:rsid w:val="001156E8"/>
    <w:rsid w:val="001257E8"/>
    <w:rsid w:val="00127FF9"/>
    <w:rsid w:val="00144CF3"/>
    <w:rsid w:val="0015223D"/>
    <w:rsid w:val="00152FC1"/>
    <w:rsid w:val="00160751"/>
    <w:rsid w:val="00167680"/>
    <w:rsid w:val="00172847"/>
    <w:rsid w:val="00194CC7"/>
    <w:rsid w:val="001A0B36"/>
    <w:rsid w:val="001B4E36"/>
    <w:rsid w:val="001C77D8"/>
    <w:rsid w:val="001D0AE0"/>
    <w:rsid w:val="001F153F"/>
    <w:rsid w:val="002027E7"/>
    <w:rsid w:val="0021059A"/>
    <w:rsid w:val="00210BD6"/>
    <w:rsid w:val="00252F46"/>
    <w:rsid w:val="00254902"/>
    <w:rsid w:val="00276FA7"/>
    <w:rsid w:val="00282225"/>
    <w:rsid w:val="00284349"/>
    <w:rsid w:val="002B2FF2"/>
    <w:rsid w:val="002C5823"/>
    <w:rsid w:val="002C68B0"/>
    <w:rsid w:val="002D1257"/>
    <w:rsid w:val="003057CE"/>
    <w:rsid w:val="00314B02"/>
    <w:rsid w:val="00325D28"/>
    <w:rsid w:val="00351BFE"/>
    <w:rsid w:val="00354FE0"/>
    <w:rsid w:val="003572C2"/>
    <w:rsid w:val="00366436"/>
    <w:rsid w:val="00371D0A"/>
    <w:rsid w:val="00372B8F"/>
    <w:rsid w:val="003763E3"/>
    <w:rsid w:val="003A44C1"/>
    <w:rsid w:val="003A51C5"/>
    <w:rsid w:val="003E09D6"/>
    <w:rsid w:val="003F0C2C"/>
    <w:rsid w:val="003F1077"/>
    <w:rsid w:val="003F6353"/>
    <w:rsid w:val="00402F6B"/>
    <w:rsid w:val="0043334E"/>
    <w:rsid w:val="00434E92"/>
    <w:rsid w:val="00457B09"/>
    <w:rsid w:val="00463B19"/>
    <w:rsid w:val="004901AD"/>
    <w:rsid w:val="004967D7"/>
    <w:rsid w:val="00496B58"/>
    <w:rsid w:val="004A628B"/>
    <w:rsid w:val="0051774E"/>
    <w:rsid w:val="005248A8"/>
    <w:rsid w:val="005479DD"/>
    <w:rsid w:val="0057123C"/>
    <w:rsid w:val="005728A3"/>
    <w:rsid w:val="0058311B"/>
    <w:rsid w:val="00596A1C"/>
    <w:rsid w:val="005B10B2"/>
    <w:rsid w:val="005C6C56"/>
    <w:rsid w:val="005D4AD7"/>
    <w:rsid w:val="005D5DF3"/>
    <w:rsid w:val="005E17CB"/>
    <w:rsid w:val="005E1A73"/>
    <w:rsid w:val="005F471D"/>
    <w:rsid w:val="00636AF8"/>
    <w:rsid w:val="006447F9"/>
    <w:rsid w:val="00647D6B"/>
    <w:rsid w:val="00650761"/>
    <w:rsid w:val="0065310F"/>
    <w:rsid w:val="0065393E"/>
    <w:rsid w:val="0067126E"/>
    <w:rsid w:val="00680789"/>
    <w:rsid w:val="00683E95"/>
    <w:rsid w:val="006B6601"/>
    <w:rsid w:val="006C1FE2"/>
    <w:rsid w:val="006D3771"/>
    <w:rsid w:val="006D4BA9"/>
    <w:rsid w:val="006D5F7D"/>
    <w:rsid w:val="00704DB2"/>
    <w:rsid w:val="007114CF"/>
    <w:rsid w:val="00734D8B"/>
    <w:rsid w:val="00742FA8"/>
    <w:rsid w:val="007645CC"/>
    <w:rsid w:val="007959C1"/>
    <w:rsid w:val="007A18AC"/>
    <w:rsid w:val="007B3B82"/>
    <w:rsid w:val="007C20A5"/>
    <w:rsid w:val="007D198D"/>
    <w:rsid w:val="007D22E2"/>
    <w:rsid w:val="007E41D4"/>
    <w:rsid w:val="007F28E2"/>
    <w:rsid w:val="008037D3"/>
    <w:rsid w:val="00833496"/>
    <w:rsid w:val="00840C74"/>
    <w:rsid w:val="00842D2D"/>
    <w:rsid w:val="00844049"/>
    <w:rsid w:val="00854001"/>
    <w:rsid w:val="00857FF1"/>
    <w:rsid w:val="0088323D"/>
    <w:rsid w:val="00887319"/>
    <w:rsid w:val="008A3634"/>
    <w:rsid w:val="008C520C"/>
    <w:rsid w:val="008E1ABE"/>
    <w:rsid w:val="008E5166"/>
    <w:rsid w:val="008E7FA5"/>
    <w:rsid w:val="00906B87"/>
    <w:rsid w:val="00954D37"/>
    <w:rsid w:val="00991407"/>
    <w:rsid w:val="009B749B"/>
    <w:rsid w:val="009C506A"/>
    <w:rsid w:val="009D5FD8"/>
    <w:rsid w:val="009D68A7"/>
    <w:rsid w:val="009E4C05"/>
    <w:rsid w:val="00A245C0"/>
    <w:rsid w:val="00A30908"/>
    <w:rsid w:val="00A52988"/>
    <w:rsid w:val="00A54D19"/>
    <w:rsid w:val="00A70E18"/>
    <w:rsid w:val="00A74165"/>
    <w:rsid w:val="00AA476A"/>
    <w:rsid w:val="00AB3BB5"/>
    <w:rsid w:val="00AC0569"/>
    <w:rsid w:val="00AC541D"/>
    <w:rsid w:val="00AC6E98"/>
    <w:rsid w:val="00AD3544"/>
    <w:rsid w:val="00AD5BD0"/>
    <w:rsid w:val="00B00CB2"/>
    <w:rsid w:val="00B0357E"/>
    <w:rsid w:val="00B26C02"/>
    <w:rsid w:val="00B35012"/>
    <w:rsid w:val="00B36582"/>
    <w:rsid w:val="00B37A6E"/>
    <w:rsid w:val="00B47841"/>
    <w:rsid w:val="00B7623A"/>
    <w:rsid w:val="00B807B6"/>
    <w:rsid w:val="00B91B5D"/>
    <w:rsid w:val="00B9444F"/>
    <w:rsid w:val="00B948D5"/>
    <w:rsid w:val="00BC390C"/>
    <w:rsid w:val="00BD1C45"/>
    <w:rsid w:val="00BD26EA"/>
    <w:rsid w:val="00BD28AE"/>
    <w:rsid w:val="00BF5595"/>
    <w:rsid w:val="00C14C1D"/>
    <w:rsid w:val="00C361B4"/>
    <w:rsid w:val="00C45527"/>
    <w:rsid w:val="00C53CF7"/>
    <w:rsid w:val="00C71FC4"/>
    <w:rsid w:val="00C75135"/>
    <w:rsid w:val="00C81FCB"/>
    <w:rsid w:val="00C86F4B"/>
    <w:rsid w:val="00C90275"/>
    <w:rsid w:val="00CF1C6F"/>
    <w:rsid w:val="00D20872"/>
    <w:rsid w:val="00D37016"/>
    <w:rsid w:val="00D57EDB"/>
    <w:rsid w:val="00D75829"/>
    <w:rsid w:val="00D803BD"/>
    <w:rsid w:val="00D83C2F"/>
    <w:rsid w:val="00D96E9B"/>
    <w:rsid w:val="00DC215D"/>
    <w:rsid w:val="00DC7320"/>
    <w:rsid w:val="00DC763C"/>
    <w:rsid w:val="00DF0318"/>
    <w:rsid w:val="00DF13B7"/>
    <w:rsid w:val="00DF7C08"/>
    <w:rsid w:val="00E147EE"/>
    <w:rsid w:val="00E36132"/>
    <w:rsid w:val="00E747DF"/>
    <w:rsid w:val="00E812E3"/>
    <w:rsid w:val="00E82DEE"/>
    <w:rsid w:val="00E86832"/>
    <w:rsid w:val="00E945BC"/>
    <w:rsid w:val="00E96E4E"/>
    <w:rsid w:val="00ED2EDB"/>
    <w:rsid w:val="00ED4262"/>
    <w:rsid w:val="00EF5B0B"/>
    <w:rsid w:val="00F070DD"/>
    <w:rsid w:val="00F16117"/>
    <w:rsid w:val="00F3151D"/>
    <w:rsid w:val="00F448D1"/>
    <w:rsid w:val="00F4777C"/>
    <w:rsid w:val="00F51018"/>
    <w:rsid w:val="00F60392"/>
    <w:rsid w:val="00F71177"/>
    <w:rsid w:val="00F75803"/>
    <w:rsid w:val="00F847EB"/>
    <w:rsid w:val="00F91B36"/>
    <w:rsid w:val="00F93669"/>
    <w:rsid w:val="00FA480D"/>
    <w:rsid w:val="00FA6852"/>
    <w:rsid w:val="00FB16E9"/>
    <w:rsid w:val="00FC386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7F250"/>
  <w15:chartTrackingRefBased/>
  <w15:docId w15:val="{A8D5A84A-A267-48E5-ACD7-D8361B347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6E9B"/>
  </w:style>
  <w:style w:type="paragraph" w:styleId="Heading1">
    <w:name w:val="heading 1"/>
    <w:basedOn w:val="Normal"/>
    <w:next w:val="Normal"/>
    <w:link w:val="Heading1Char"/>
    <w:uiPriority w:val="9"/>
    <w:qFormat/>
    <w:rsid w:val="007959C1"/>
    <w:pPr>
      <w:keepNext/>
      <w:keepLines/>
      <w:spacing w:before="32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959C1"/>
    <w:pPr>
      <w:keepNext/>
      <w:keepLines/>
      <w:spacing w:before="80"/>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7959C1"/>
    <w:pPr>
      <w:keepNext/>
      <w:keepLines/>
      <w:spacing w:before="40"/>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7959C1"/>
    <w:pPr>
      <w:keepNext/>
      <w:keepLines/>
      <w:spacing w:before="4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7959C1"/>
    <w:pPr>
      <w:keepNext/>
      <w:keepLines/>
      <w:spacing w:before="4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7959C1"/>
    <w:pPr>
      <w:keepNext/>
      <w:keepLines/>
      <w:spacing w:before="4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7959C1"/>
    <w:pPr>
      <w:keepNext/>
      <w:keepLines/>
      <w:spacing w:before="4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7959C1"/>
    <w:pPr>
      <w:keepNext/>
      <w:keepLines/>
      <w:spacing w:before="4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7959C1"/>
    <w:pPr>
      <w:keepNext/>
      <w:keepLines/>
      <w:spacing w:before="4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4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80789"/>
  </w:style>
  <w:style w:type="character" w:customStyle="1" w:styleId="Heading1Char">
    <w:name w:val="Heading 1 Char"/>
    <w:basedOn w:val="DefaultParagraphFont"/>
    <w:link w:val="Heading1"/>
    <w:uiPriority w:val="9"/>
    <w:rsid w:val="007959C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959C1"/>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7959C1"/>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7959C1"/>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7959C1"/>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7959C1"/>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7959C1"/>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7959C1"/>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7959C1"/>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7959C1"/>
    <w:rPr>
      <w:b/>
      <w:bCs/>
      <w:smallCaps/>
      <w:color w:val="595959" w:themeColor="text1" w:themeTint="A6"/>
      <w:spacing w:val="6"/>
    </w:rPr>
  </w:style>
  <w:style w:type="paragraph" w:styleId="Title">
    <w:name w:val="Title"/>
    <w:basedOn w:val="Normal"/>
    <w:next w:val="Normal"/>
    <w:link w:val="TitleChar"/>
    <w:uiPriority w:val="10"/>
    <w:qFormat/>
    <w:rsid w:val="007959C1"/>
    <w:pPr>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7959C1"/>
    <w:rPr>
      <w:rFonts w:asciiTheme="majorHAnsi" w:eastAsiaTheme="majorEastAsia" w:hAnsiTheme="majorHAnsi" w:cstheme="majorBidi"/>
      <w:color w:val="4472C4" w:themeColor="accent1"/>
      <w:spacing w:val="-10"/>
      <w:sz w:val="56"/>
      <w:szCs w:val="56"/>
    </w:rPr>
  </w:style>
  <w:style w:type="paragraph" w:styleId="Subtitle">
    <w:name w:val="Subtitle"/>
    <w:basedOn w:val="Normal"/>
    <w:next w:val="Normal"/>
    <w:link w:val="SubtitleChar"/>
    <w:uiPriority w:val="11"/>
    <w:qFormat/>
    <w:rsid w:val="007959C1"/>
    <w:pPr>
      <w:numPr>
        <w:ilvl w:val="1"/>
      </w:numP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7959C1"/>
    <w:rPr>
      <w:rFonts w:asciiTheme="majorHAnsi" w:eastAsiaTheme="majorEastAsia" w:hAnsiTheme="majorHAnsi" w:cstheme="majorBidi"/>
      <w:sz w:val="24"/>
      <w:szCs w:val="24"/>
    </w:rPr>
  </w:style>
  <w:style w:type="character" w:styleId="Strong">
    <w:name w:val="Strong"/>
    <w:basedOn w:val="DefaultParagraphFont"/>
    <w:uiPriority w:val="22"/>
    <w:qFormat/>
    <w:rsid w:val="007959C1"/>
    <w:rPr>
      <w:b/>
      <w:bCs/>
    </w:rPr>
  </w:style>
  <w:style w:type="character" w:styleId="Emphasis">
    <w:name w:val="Emphasis"/>
    <w:basedOn w:val="DefaultParagraphFont"/>
    <w:uiPriority w:val="20"/>
    <w:qFormat/>
    <w:rsid w:val="007959C1"/>
    <w:rPr>
      <w:i/>
      <w:iCs/>
    </w:rPr>
  </w:style>
  <w:style w:type="paragraph" w:styleId="NoSpacing">
    <w:name w:val="No Spacing"/>
    <w:uiPriority w:val="1"/>
    <w:qFormat/>
    <w:rsid w:val="007959C1"/>
  </w:style>
  <w:style w:type="paragraph" w:styleId="Quote">
    <w:name w:val="Quote"/>
    <w:basedOn w:val="Normal"/>
    <w:next w:val="Normal"/>
    <w:link w:val="QuoteChar"/>
    <w:uiPriority w:val="29"/>
    <w:qFormat/>
    <w:rsid w:val="007959C1"/>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7959C1"/>
    <w:rPr>
      <w:i/>
      <w:iCs/>
      <w:color w:val="404040" w:themeColor="text1" w:themeTint="BF"/>
    </w:rPr>
  </w:style>
  <w:style w:type="paragraph" w:styleId="IntenseQuote">
    <w:name w:val="Intense Quote"/>
    <w:basedOn w:val="Normal"/>
    <w:next w:val="Normal"/>
    <w:link w:val="IntenseQuoteChar"/>
    <w:uiPriority w:val="30"/>
    <w:qFormat/>
    <w:rsid w:val="007959C1"/>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7959C1"/>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7959C1"/>
    <w:rPr>
      <w:i/>
      <w:iCs/>
      <w:color w:val="404040" w:themeColor="text1" w:themeTint="BF"/>
    </w:rPr>
  </w:style>
  <w:style w:type="character" w:styleId="IntenseEmphasis">
    <w:name w:val="Intense Emphasis"/>
    <w:basedOn w:val="DefaultParagraphFont"/>
    <w:uiPriority w:val="21"/>
    <w:qFormat/>
    <w:rsid w:val="007959C1"/>
    <w:rPr>
      <w:b/>
      <w:bCs/>
      <w:i/>
      <w:iCs/>
    </w:rPr>
  </w:style>
  <w:style w:type="character" w:styleId="SubtleReference">
    <w:name w:val="Subtle Reference"/>
    <w:basedOn w:val="DefaultParagraphFont"/>
    <w:uiPriority w:val="31"/>
    <w:qFormat/>
    <w:rsid w:val="007959C1"/>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7959C1"/>
    <w:rPr>
      <w:b/>
      <w:bCs/>
      <w:smallCaps/>
      <w:spacing w:val="5"/>
      <w:u w:val="single"/>
    </w:rPr>
  </w:style>
  <w:style w:type="character" w:styleId="BookTitle">
    <w:name w:val="Book Title"/>
    <w:basedOn w:val="DefaultParagraphFont"/>
    <w:uiPriority w:val="33"/>
    <w:qFormat/>
    <w:rsid w:val="007959C1"/>
    <w:rPr>
      <w:b/>
      <w:bCs/>
      <w:smallCaps/>
    </w:rPr>
  </w:style>
  <w:style w:type="paragraph" w:styleId="TOCHeading">
    <w:name w:val="TOC Heading"/>
    <w:basedOn w:val="Heading1"/>
    <w:next w:val="Normal"/>
    <w:uiPriority w:val="39"/>
    <w:unhideWhenUsed/>
    <w:qFormat/>
    <w:rsid w:val="007959C1"/>
    <w:pPr>
      <w:outlineLvl w:val="9"/>
    </w:pPr>
  </w:style>
  <w:style w:type="paragraph" w:styleId="ListParagraph">
    <w:name w:val="List Paragraph"/>
    <w:basedOn w:val="Normal"/>
    <w:link w:val="ListParagraphChar"/>
    <w:uiPriority w:val="34"/>
    <w:qFormat/>
    <w:rsid w:val="00742FA8"/>
    <w:pPr>
      <w:ind w:left="720"/>
      <w:contextualSpacing/>
    </w:pPr>
  </w:style>
  <w:style w:type="character" w:styleId="Hyperlink">
    <w:name w:val="Hyperlink"/>
    <w:uiPriority w:val="99"/>
    <w:unhideWhenUsed/>
    <w:rsid w:val="001A0B36"/>
    <w:rPr>
      <w:color w:val="F49100"/>
      <w:u w:val="single"/>
    </w:rPr>
  </w:style>
  <w:style w:type="paragraph" w:styleId="NormalWeb">
    <w:name w:val="Normal (Web)"/>
    <w:basedOn w:val="Normal"/>
    <w:uiPriority w:val="99"/>
    <w:unhideWhenUsed/>
    <w:rsid w:val="001A0B36"/>
    <w:pPr>
      <w:spacing w:before="100" w:beforeAutospacing="1" w:after="100" w:afterAutospacing="1"/>
    </w:pPr>
    <w:rPr>
      <w:rFonts w:ascii="Times New Roman" w:eastAsia="Times New Roman" w:hAnsi="Times New Roman" w:cs="Times New Roman"/>
      <w:i/>
      <w:iCs/>
      <w:sz w:val="24"/>
      <w:szCs w:val="24"/>
      <w:lang w:eastAsia="fr-FR"/>
    </w:rPr>
  </w:style>
  <w:style w:type="character" w:customStyle="1" w:styleId="ListParagraphChar">
    <w:name w:val="List Paragraph Char"/>
    <w:link w:val="ListParagraph"/>
    <w:uiPriority w:val="34"/>
    <w:locked/>
    <w:rsid w:val="001A0B36"/>
  </w:style>
  <w:style w:type="paragraph" w:styleId="TOC1">
    <w:name w:val="toc 1"/>
    <w:basedOn w:val="Normal"/>
    <w:next w:val="Normal"/>
    <w:autoRedefine/>
    <w:uiPriority w:val="39"/>
    <w:unhideWhenUsed/>
    <w:rsid w:val="006D3771"/>
    <w:pPr>
      <w:spacing w:after="100"/>
    </w:pPr>
  </w:style>
  <w:style w:type="paragraph" w:styleId="TOC2">
    <w:name w:val="toc 2"/>
    <w:basedOn w:val="Normal"/>
    <w:next w:val="Normal"/>
    <w:autoRedefine/>
    <w:uiPriority w:val="39"/>
    <w:unhideWhenUsed/>
    <w:rsid w:val="006D3771"/>
    <w:pPr>
      <w:spacing w:after="100"/>
      <w:ind w:left="200"/>
    </w:pPr>
  </w:style>
  <w:style w:type="paragraph" w:customStyle="1" w:styleId="Default">
    <w:name w:val="Default"/>
    <w:rsid w:val="00857FF1"/>
    <w:pPr>
      <w:autoSpaceDE w:val="0"/>
      <w:autoSpaceDN w:val="0"/>
      <w:adjustRightInd w:val="0"/>
    </w:pPr>
    <w:rPr>
      <w:rFonts w:ascii="Calibri" w:eastAsiaTheme="minorHAnsi" w:hAnsi="Calibri" w:cs="Calibri"/>
      <w:color w:val="000000"/>
      <w:sz w:val="24"/>
      <w:szCs w:val="24"/>
    </w:rPr>
  </w:style>
  <w:style w:type="paragraph" w:styleId="FootnoteText">
    <w:name w:val="footnote text"/>
    <w:basedOn w:val="Normal"/>
    <w:link w:val="FootnoteTextChar"/>
    <w:uiPriority w:val="99"/>
    <w:semiHidden/>
    <w:unhideWhenUsed/>
    <w:rsid w:val="00857FF1"/>
    <w:rPr>
      <w:rFonts w:eastAsiaTheme="minorHAnsi"/>
    </w:rPr>
  </w:style>
  <w:style w:type="character" w:customStyle="1" w:styleId="FootnoteTextChar">
    <w:name w:val="Footnote Text Char"/>
    <w:basedOn w:val="DefaultParagraphFont"/>
    <w:link w:val="FootnoteText"/>
    <w:uiPriority w:val="99"/>
    <w:semiHidden/>
    <w:rsid w:val="00857FF1"/>
    <w:rPr>
      <w:rFonts w:eastAsiaTheme="minorHAnsi"/>
    </w:rPr>
  </w:style>
  <w:style w:type="character" w:styleId="FootnoteReference">
    <w:name w:val="footnote reference"/>
    <w:basedOn w:val="DefaultParagraphFont"/>
    <w:uiPriority w:val="99"/>
    <w:semiHidden/>
    <w:unhideWhenUsed/>
    <w:rsid w:val="00857FF1"/>
    <w:rPr>
      <w:vertAlign w:val="superscript"/>
    </w:rPr>
  </w:style>
  <w:style w:type="paragraph" w:styleId="TOC3">
    <w:name w:val="toc 3"/>
    <w:basedOn w:val="Normal"/>
    <w:next w:val="Normal"/>
    <w:autoRedefine/>
    <w:uiPriority w:val="39"/>
    <w:unhideWhenUsed/>
    <w:rsid w:val="004A628B"/>
    <w:pPr>
      <w:spacing w:after="100"/>
      <w:ind w:left="400"/>
    </w:pPr>
  </w:style>
  <w:style w:type="paragraph" w:styleId="Header">
    <w:name w:val="header"/>
    <w:basedOn w:val="Normal"/>
    <w:link w:val="HeaderChar"/>
    <w:uiPriority w:val="99"/>
    <w:unhideWhenUsed/>
    <w:rsid w:val="0057123C"/>
    <w:pPr>
      <w:tabs>
        <w:tab w:val="center" w:pos="4513"/>
        <w:tab w:val="right" w:pos="9026"/>
      </w:tabs>
    </w:pPr>
  </w:style>
  <w:style w:type="character" w:customStyle="1" w:styleId="HeaderChar">
    <w:name w:val="Header Char"/>
    <w:basedOn w:val="DefaultParagraphFont"/>
    <w:link w:val="Header"/>
    <w:uiPriority w:val="99"/>
    <w:rsid w:val="0057123C"/>
  </w:style>
  <w:style w:type="paragraph" w:styleId="Footer">
    <w:name w:val="footer"/>
    <w:basedOn w:val="Normal"/>
    <w:link w:val="FooterChar"/>
    <w:uiPriority w:val="99"/>
    <w:unhideWhenUsed/>
    <w:rsid w:val="0057123C"/>
    <w:pPr>
      <w:tabs>
        <w:tab w:val="center" w:pos="4513"/>
        <w:tab w:val="right" w:pos="9026"/>
      </w:tabs>
    </w:pPr>
  </w:style>
  <w:style w:type="character" w:customStyle="1" w:styleId="FooterChar">
    <w:name w:val="Footer Char"/>
    <w:basedOn w:val="DefaultParagraphFont"/>
    <w:link w:val="Footer"/>
    <w:uiPriority w:val="99"/>
    <w:rsid w:val="0057123C"/>
  </w:style>
  <w:style w:type="character" w:styleId="UnresolvedMention">
    <w:name w:val="Unresolved Mention"/>
    <w:basedOn w:val="DefaultParagraphFont"/>
    <w:uiPriority w:val="99"/>
    <w:semiHidden/>
    <w:unhideWhenUsed/>
    <w:rsid w:val="00172847"/>
    <w:rPr>
      <w:color w:val="605E5C"/>
      <w:shd w:val="clear" w:color="auto" w:fill="E1DFDD"/>
    </w:rPr>
  </w:style>
  <w:style w:type="character" w:styleId="FollowedHyperlink">
    <w:name w:val="FollowedHyperlink"/>
    <w:basedOn w:val="DefaultParagraphFont"/>
    <w:uiPriority w:val="99"/>
    <w:semiHidden/>
    <w:unhideWhenUsed/>
    <w:rsid w:val="00CF1C6F"/>
    <w:rPr>
      <w:color w:val="954F72" w:themeColor="followedHyperlink"/>
      <w:u w:val="single"/>
    </w:rPr>
  </w:style>
  <w:style w:type="character" w:customStyle="1" w:styleId="docref">
    <w:name w:val="docref"/>
    <w:basedOn w:val="DefaultParagraphFont"/>
    <w:rsid w:val="006C1FE2"/>
  </w:style>
  <w:style w:type="character" w:customStyle="1" w:styleId="gray">
    <w:name w:val="gray"/>
    <w:basedOn w:val="DefaultParagraphFont"/>
    <w:rsid w:val="006C1FE2"/>
  </w:style>
  <w:style w:type="paragraph" w:customStyle="1" w:styleId="COEHI">
    <w:name w:val="COE_HI"/>
    <w:basedOn w:val="Normal"/>
    <w:qFormat/>
    <w:rsid w:val="00F51018"/>
    <w:pPr>
      <w:numPr>
        <w:numId w:val="5"/>
      </w:numPr>
      <w:tabs>
        <w:tab w:val="left" w:pos="482"/>
      </w:tabs>
      <w:spacing w:line="240" w:lineRule="exact"/>
      <w:jc w:val="both"/>
    </w:pPr>
    <w:rPr>
      <w:rFonts w:ascii="Times New Roman" w:eastAsia="Times New Roman" w:hAnsi="Times New Roman" w:cs="Times New Roman"/>
      <w:color w:val="000000"/>
      <w:kern w:val="16"/>
      <w:sz w:val="21"/>
      <w:szCs w:val="24"/>
      <w:lang w:eastAsia="fr-FR"/>
    </w:rPr>
  </w:style>
  <w:style w:type="paragraph" w:customStyle="1" w:styleId="COEHeading2bis">
    <w:name w:val="COE_Heading2bis"/>
    <w:basedOn w:val="Normal"/>
    <w:qFormat/>
    <w:rsid w:val="000154A9"/>
    <w:pPr>
      <w:keepNext/>
      <w:tabs>
        <w:tab w:val="left" w:pos="480"/>
      </w:tabs>
      <w:spacing w:before="240" w:after="240" w:line="240" w:lineRule="exact"/>
      <w:ind w:firstLine="482"/>
      <w:jc w:val="center"/>
    </w:pPr>
    <w:rPr>
      <w:rFonts w:ascii="Times New Roman" w:eastAsia="Times New Roman" w:hAnsi="Times New Roman" w:cs="Times New Roman"/>
      <w:caps/>
      <w:color w:val="000000"/>
      <w:kern w:val="16"/>
      <w:sz w:val="18"/>
      <w:szCs w:val="24"/>
      <w:lang w:eastAsia="fr-FR"/>
    </w:rPr>
  </w:style>
  <w:style w:type="paragraph" w:customStyle="1" w:styleId="COEHeading4">
    <w:name w:val="COE_Heading4"/>
    <w:basedOn w:val="Normal"/>
    <w:next w:val="Normal"/>
    <w:rsid w:val="000154A9"/>
    <w:pPr>
      <w:keepNext/>
      <w:suppressAutoHyphens/>
      <w:spacing w:before="240" w:after="240" w:line="240" w:lineRule="exact"/>
      <w:ind w:left="1134" w:right="1134"/>
      <w:jc w:val="center"/>
    </w:pPr>
    <w:rPr>
      <w:rFonts w:ascii="Times New Roman" w:eastAsia="Times New Roman" w:hAnsi="Times New Roman" w:cs="Times New Roman"/>
      <w:b/>
      <w:color w:val="000000"/>
      <w:kern w:val="16"/>
      <w:sz w:val="21"/>
      <w:szCs w:val="21"/>
      <w:lang w:val="en-GB" w:eastAsia="fr-FR"/>
    </w:rPr>
  </w:style>
  <w:style w:type="paragraph" w:customStyle="1" w:styleId="xmsonormal">
    <w:name w:val="x_msonormal"/>
    <w:basedOn w:val="Normal"/>
    <w:rsid w:val="000154A9"/>
    <w:rPr>
      <w:rFonts w:ascii="Calibri" w:eastAsiaTheme="minorHAnsi" w:hAnsi="Calibri" w:cs="Calibri"/>
      <w:sz w:val="22"/>
      <w:szCs w:val="22"/>
      <w:lang w:eastAsia="fr-FR"/>
    </w:rPr>
  </w:style>
  <w:style w:type="paragraph" w:customStyle="1" w:styleId="xxxxxmsonormal">
    <w:name w:val="x_x_x_x_xmsonormal"/>
    <w:basedOn w:val="Normal"/>
    <w:rsid w:val="00DC215D"/>
    <w:pPr>
      <w:spacing w:before="100" w:beforeAutospacing="1" w:after="100" w:afterAutospacing="1"/>
    </w:pPr>
    <w:rPr>
      <w:rFonts w:ascii="Calibri" w:eastAsiaTheme="minorHAnsi" w:hAnsi="Calibri" w:cs="Calibri"/>
      <w:sz w:val="22"/>
      <w:szCs w:val="22"/>
      <w:lang w:eastAsia="fr-FR"/>
    </w:rPr>
  </w:style>
  <w:style w:type="character" w:customStyle="1" w:styleId="s4b8d41ee">
    <w:name w:val="s4b8d41ee"/>
    <w:basedOn w:val="DefaultParagraphFont"/>
    <w:rsid w:val="007E41D4"/>
  </w:style>
  <w:style w:type="character" w:customStyle="1" w:styleId="s7c768949">
    <w:name w:val="s7c768949"/>
    <w:basedOn w:val="DefaultParagraphFont"/>
    <w:rsid w:val="007E41D4"/>
  </w:style>
  <w:style w:type="character" w:customStyle="1" w:styleId="s682a13c7">
    <w:name w:val="s682a13c7"/>
    <w:basedOn w:val="DefaultParagraphFont"/>
    <w:rsid w:val="007E41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88564">
      <w:bodyDiv w:val="1"/>
      <w:marLeft w:val="0"/>
      <w:marRight w:val="0"/>
      <w:marTop w:val="0"/>
      <w:marBottom w:val="0"/>
      <w:divBdr>
        <w:top w:val="none" w:sz="0" w:space="0" w:color="auto"/>
        <w:left w:val="none" w:sz="0" w:space="0" w:color="auto"/>
        <w:bottom w:val="none" w:sz="0" w:space="0" w:color="auto"/>
        <w:right w:val="none" w:sz="0" w:space="0" w:color="auto"/>
      </w:divBdr>
    </w:div>
    <w:div w:id="419445377">
      <w:bodyDiv w:val="1"/>
      <w:marLeft w:val="0"/>
      <w:marRight w:val="0"/>
      <w:marTop w:val="0"/>
      <w:marBottom w:val="0"/>
      <w:divBdr>
        <w:top w:val="none" w:sz="0" w:space="0" w:color="auto"/>
        <w:left w:val="none" w:sz="0" w:space="0" w:color="auto"/>
        <w:bottom w:val="none" w:sz="0" w:space="0" w:color="auto"/>
        <w:right w:val="none" w:sz="0" w:space="0" w:color="auto"/>
      </w:divBdr>
    </w:div>
    <w:div w:id="454256869">
      <w:bodyDiv w:val="1"/>
      <w:marLeft w:val="0"/>
      <w:marRight w:val="0"/>
      <w:marTop w:val="0"/>
      <w:marBottom w:val="0"/>
      <w:divBdr>
        <w:top w:val="none" w:sz="0" w:space="0" w:color="auto"/>
        <w:left w:val="none" w:sz="0" w:space="0" w:color="auto"/>
        <w:bottom w:val="none" w:sz="0" w:space="0" w:color="auto"/>
        <w:right w:val="none" w:sz="0" w:space="0" w:color="auto"/>
      </w:divBdr>
    </w:div>
    <w:div w:id="477648684">
      <w:bodyDiv w:val="1"/>
      <w:marLeft w:val="0"/>
      <w:marRight w:val="0"/>
      <w:marTop w:val="0"/>
      <w:marBottom w:val="0"/>
      <w:divBdr>
        <w:top w:val="none" w:sz="0" w:space="0" w:color="auto"/>
        <w:left w:val="none" w:sz="0" w:space="0" w:color="auto"/>
        <w:bottom w:val="none" w:sz="0" w:space="0" w:color="auto"/>
        <w:right w:val="none" w:sz="0" w:space="0" w:color="auto"/>
      </w:divBdr>
    </w:div>
    <w:div w:id="582759184">
      <w:bodyDiv w:val="1"/>
      <w:marLeft w:val="0"/>
      <w:marRight w:val="0"/>
      <w:marTop w:val="0"/>
      <w:marBottom w:val="0"/>
      <w:divBdr>
        <w:top w:val="none" w:sz="0" w:space="0" w:color="auto"/>
        <w:left w:val="none" w:sz="0" w:space="0" w:color="auto"/>
        <w:bottom w:val="none" w:sz="0" w:space="0" w:color="auto"/>
        <w:right w:val="none" w:sz="0" w:space="0" w:color="auto"/>
      </w:divBdr>
    </w:div>
    <w:div w:id="628365790">
      <w:bodyDiv w:val="1"/>
      <w:marLeft w:val="0"/>
      <w:marRight w:val="0"/>
      <w:marTop w:val="0"/>
      <w:marBottom w:val="0"/>
      <w:divBdr>
        <w:top w:val="none" w:sz="0" w:space="0" w:color="auto"/>
        <w:left w:val="none" w:sz="0" w:space="0" w:color="auto"/>
        <w:bottom w:val="none" w:sz="0" w:space="0" w:color="auto"/>
        <w:right w:val="none" w:sz="0" w:space="0" w:color="auto"/>
      </w:divBdr>
    </w:div>
    <w:div w:id="835923820">
      <w:bodyDiv w:val="1"/>
      <w:marLeft w:val="0"/>
      <w:marRight w:val="0"/>
      <w:marTop w:val="0"/>
      <w:marBottom w:val="0"/>
      <w:divBdr>
        <w:top w:val="none" w:sz="0" w:space="0" w:color="auto"/>
        <w:left w:val="none" w:sz="0" w:space="0" w:color="auto"/>
        <w:bottom w:val="none" w:sz="0" w:space="0" w:color="auto"/>
        <w:right w:val="none" w:sz="0" w:space="0" w:color="auto"/>
      </w:divBdr>
    </w:div>
    <w:div w:id="1062289847">
      <w:bodyDiv w:val="1"/>
      <w:marLeft w:val="0"/>
      <w:marRight w:val="0"/>
      <w:marTop w:val="0"/>
      <w:marBottom w:val="0"/>
      <w:divBdr>
        <w:top w:val="none" w:sz="0" w:space="0" w:color="auto"/>
        <w:left w:val="none" w:sz="0" w:space="0" w:color="auto"/>
        <w:bottom w:val="none" w:sz="0" w:space="0" w:color="auto"/>
        <w:right w:val="none" w:sz="0" w:space="0" w:color="auto"/>
      </w:divBdr>
    </w:div>
    <w:div w:id="1124884317">
      <w:bodyDiv w:val="1"/>
      <w:marLeft w:val="0"/>
      <w:marRight w:val="0"/>
      <w:marTop w:val="0"/>
      <w:marBottom w:val="0"/>
      <w:divBdr>
        <w:top w:val="none" w:sz="0" w:space="0" w:color="auto"/>
        <w:left w:val="none" w:sz="0" w:space="0" w:color="auto"/>
        <w:bottom w:val="none" w:sz="0" w:space="0" w:color="auto"/>
        <w:right w:val="none" w:sz="0" w:space="0" w:color="auto"/>
      </w:divBdr>
    </w:div>
    <w:div w:id="1125929464">
      <w:bodyDiv w:val="1"/>
      <w:marLeft w:val="0"/>
      <w:marRight w:val="0"/>
      <w:marTop w:val="0"/>
      <w:marBottom w:val="0"/>
      <w:divBdr>
        <w:top w:val="none" w:sz="0" w:space="0" w:color="auto"/>
        <w:left w:val="none" w:sz="0" w:space="0" w:color="auto"/>
        <w:bottom w:val="none" w:sz="0" w:space="0" w:color="auto"/>
        <w:right w:val="none" w:sz="0" w:space="0" w:color="auto"/>
      </w:divBdr>
    </w:div>
    <w:div w:id="1145316384">
      <w:bodyDiv w:val="1"/>
      <w:marLeft w:val="0"/>
      <w:marRight w:val="0"/>
      <w:marTop w:val="0"/>
      <w:marBottom w:val="0"/>
      <w:divBdr>
        <w:top w:val="none" w:sz="0" w:space="0" w:color="auto"/>
        <w:left w:val="none" w:sz="0" w:space="0" w:color="auto"/>
        <w:bottom w:val="none" w:sz="0" w:space="0" w:color="auto"/>
        <w:right w:val="none" w:sz="0" w:space="0" w:color="auto"/>
      </w:divBdr>
    </w:div>
    <w:div w:id="1171480773">
      <w:bodyDiv w:val="1"/>
      <w:marLeft w:val="0"/>
      <w:marRight w:val="0"/>
      <w:marTop w:val="0"/>
      <w:marBottom w:val="0"/>
      <w:divBdr>
        <w:top w:val="none" w:sz="0" w:space="0" w:color="auto"/>
        <w:left w:val="none" w:sz="0" w:space="0" w:color="auto"/>
        <w:bottom w:val="none" w:sz="0" w:space="0" w:color="auto"/>
        <w:right w:val="none" w:sz="0" w:space="0" w:color="auto"/>
      </w:divBdr>
    </w:div>
    <w:div w:id="1228347309">
      <w:bodyDiv w:val="1"/>
      <w:marLeft w:val="0"/>
      <w:marRight w:val="0"/>
      <w:marTop w:val="0"/>
      <w:marBottom w:val="0"/>
      <w:divBdr>
        <w:top w:val="none" w:sz="0" w:space="0" w:color="auto"/>
        <w:left w:val="none" w:sz="0" w:space="0" w:color="auto"/>
        <w:bottom w:val="none" w:sz="0" w:space="0" w:color="auto"/>
        <w:right w:val="none" w:sz="0" w:space="0" w:color="auto"/>
      </w:divBdr>
    </w:div>
    <w:div w:id="1316839823">
      <w:bodyDiv w:val="1"/>
      <w:marLeft w:val="0"/>
      <w:marRight w:val="0"/>
      <w:marTop w:val="0"/>
      <w:marBottom w:val="0"/>
      <w:divBdr>
        <w:top w:val="none" w:sz="0" w:space="0" w:color="auto"/>
        <w:left w:val="none" w:sz="0" w:space="0" w:color="auto"/>
        <w:bottom w:val="none" w:sz="0" w:space="0" w:color="auto"/>
        <w:right w:val="none" w:sz="0" w:space="0" w:color="auto"/>
      </w:divBdr>
    </w:div>
    <w:div w:id="1365519767">
      <w:bodyDiv w:val="1"/>
      <w:marLeft w:val="0"/>
      <w:marRight w:val="0"/>
      <w:marTop w:val="0"/>
      <w:marBottom w:val="0"/>
      <w:divBdr>
        <w:top w:val="none" w:sz="0" w:space="0" w:color="auto"/>
        <w:left w:val="none" w:sz="0" w:space="0" w:color="auto"/>
        <w:bottom w:val="none" w:sz="0" w:space="0" w:color="auto"/>
        <w:right w:val="none" w:sz="0" w:space="0" w:color="auto"/>
      </w:divBdr>
    </w:div>
    <w:div w:id="1371958568">
      <w:bodyDiv w:val="1"/>
      <w:marLeft w:val="0"/>
      <w:marRight w:val="0"/>
      <w:marTop w:val="0"/>
      <w:marBottom w:val="0"/>
      <w:divBdr>
        <w:top w:val="none" w:sz="0" w:space="0" w:color="auto"/>
        <w:left w:val="none" w:sz="0" w:space="0" w:color="auto"/>
        <w:bottom w:val="none" w:sz="0" w:space="0" w:color="auto"/>
        <w:right w:val="none" w:sz="0" w:space="0" w:color="auto"/>
      </w:divBdr>
    </w:div>
    <w:div w:id="1433744174">
      <w:bodyDiv w:val="1"/>
      <w:marLeft w:val="0"/>
      <w:marRight w:val="0"/>
      <w:marTop w:val="0"/>
      <w:marBottom w:val="0"/>
      <w:divBdr>
        <w:top w:val="none" w:sz="0" w:space="0" w:color="auto"/>
        <w:left w:val="none" w:sz="0" w:space="0" w:color="auto"/>
        <w:bottom w:val="none" w:sz="0" w:space="0" w:color="auto"/>
        <w:right w:val="none" w:sz="0" w:space="0" w:color="auto"/>
      </w:divBdr>
    </w:div>
    <w:div w:id="1456757354">
      <w:bodyDiv w:val="1"/>
      <w:marLeft w:val="0"/>
      <w:marRight w:val="0"/>
      <w:marTop w:val="0"/>
      <w:marBottom w:val="0"/>
      <w:divBdr>
        <w:top w:val="none" w:sz="0" w:space="0" w:color="auto"/>
        <w:left w:val="none" w:sz="0" w:space="0" w:color="auto"/>
        <w:bottom w:val="none" w:sz="0" w:space="0" w:color="auto"/>
        <w:right w:val="none" w:sz="0" w:space="0" w:color="auto"/>
      </w:divBdr>
    </w:div>
    <w:div w:id="1527865553">
      <w:bodyDiv w:val="1"/>
      <w:marLeft w:val="0"/>
      <w:marRight w:val="0"/>
      <w:marTop w:val="0"/>
      <w:marBottom w:val="0"/>
      <w:divBdr>
        <w:top w:val="none" w:sz="0" w:space="0" w:color="auto"/>
        <w:left w:val="none" w:sz="0" w:space="0" w:color="auto"/>
        <w:bottom w:val="none" w:sz="0" w:space="0" w:color="auto"/>
        <w:right w:val="none" w:sz="0" w:space="0" w:color="auto"/>
      </w:divBdr>
    </w:div>
    <w:div w:id="1528177074">
      <w:bodyDiv w:val="1"/>
      <w:marLeft w:val="0"/>
      <w:marRight w:val="0"/>
      <w:marTop w:val="0"/>
      <w:marBottom w:val="0"/>
      <w:divBdr>
        <w:top w:val="none" w:sz="0" w:space="0" w:color="auto"/>
        <w:left w:val="none" w:sz="0" w:space="0" w:color="auto"/>
        <w:bottom w:val="none" w:sz="0" w:space="0" w:color="auto"/>
        <w:right w:val="none" w:sz="0" w:space="0" w:color="auto"/>
      </w:divBdr>
    </w:div>
    <w:div w:id="1545678709">
      <w:bodyDiv w:val="1"/>
      <w:marLeft w:val="0"/>
      <w:marRight w:val="0"/>
      <w:marTop w:val="0"/>
      <w:marBottom w:val="0"/>
      <w:divBdr>
        <w:top w:val="none" w:sz="0" w:space="0" w:color="auto"/>
        <w:left w:val="none" w:sz="0" w:space="0" w:color="auto"/>
        <w:bottom w:val="none" w:sz="0" w:space="0" w:color="auto"/>
        <w:right w:val="none" w:sz="0" w:space="0" w:color="auto"/>
      </w:divBdr>
    </w:div>
    <w:div w:id="1592273031">
      <w:bodyDiv w:val="1"/>
      <w:marLeft w:val="0"/>
      <w:marRight w:val="0"/>
      <w:marTop w:val="0"/>
      <w:marBottom w:val="0"/>
      <w:divBdr>
        <w:top w:val="none" w:sz="0" w:space="0" w:color="auto"/>
        <w:left w:val="none" w:sz="0" w:space="0" w:color="auto"/>
        <w:bottom w:val="none" w:sz="0" w:space="0" w:color="auto"/>
        <w:right w:val="none" w:sz="0" w:space="0" w:color="auto"/>
      </w:divBdr>
    </w:div>
    <w:div w:id="1599213669">
      <w:bodyDiv w:val="1"/>
      <w:marLeft w:val="0"/>
      <w:marRight w:val="0"/>
      <w:marTop w:val="0"/>
      <w:marBottom w:val="0"/>
      <w:divBdr>
        <w:top w:val="none" w:sz="0" w:space="0" w:color="auto"/>
        <w:left w:val="none" w:sz="0" w:space="0" w:color="auto"/>
        <w:bottom w:val="none" w:sz="0" w:space="0" w:color="auto"/>
        <w:right w:val="none" w:sz="0" w:space="0" w:color="auto"/>
      </w:divBdr>
    </w:div>
    <w:div w:id="1649824542">
      <w:bodyDiv w:val="1"/>
      <w:marLeft w:val="0"/>
      <w:marRight w:val="0"/>
      <w:marTop w:val="0"/>
      <w:marBottom w:val="0"/>
      <w:divBdr>
        <w:top w:val="none" w:sz="0" w:space="0" w:color="auto"/>
        <w:left w:val="none" w:sz="0" w:space="0" w:color="auto"/>
        <w:bottom w:val="none" w:sz="0" w:space="0" w:color="auto"/>
        <w:right w:val="none" w:sz="0" w:space="0" w:color="auto"/>
      </w:divBdr>
    </w:div>
    <w:div w:id="1668825248">
      <w:bodyDiv w:val="1"/>
      <w:marLeft w:val="0"/>
      <w:marRight w:val="0"/>
      <w:marTop w:val="0"/>
      <w:marBottom w:val="0"/>
      <w:divBdr>
        <w:top w:val="none" w:sz="0" w:space="0" w:color="auto"/>
        <w:left w:val="none" w:sz="0" w:space="0" w:color="auto"/>
        <w:bottom w:val="none" w:sz="0" w:space="0" w:color="auto"/>
        <w:right w:val="none" w:sz="0" w:space="0" w:color="auto"/>
      </w:divBdr>
    </w:div>
    <w:div w:id="1804275742">
      <w:bodyDiv w:val="1"/>
      <w:marLeft w:val="0"/>
      <w:marRight w:val="0"/>
      <w:marTop w:val="0"/>
      <w:marBottom w:val="0"/>
      <w:divBdr>
        <w:top w:val="none" w:sz="0" w:space="0" w:color="auto"/>
        <w:left w:val="none" w:sz="0" w:space="0" w:color="auto"/>
        <w:bottom w:val="none" w:sz="0" w:space="0" w:color="auto"/>
        <w:right w:val="none" w:sz="0" w:space="0" w:color="auto"/>
      </w:divBdr>
    </w:div>
    <w:div w:id="1844859622">
      <w:bodyDiv w:val="1"/>
      <w:marLeft w:val="0"/>
      <w:marRight w:val="0"/>
      <w:marTop w:val="0"/>
      <w:marBottom w:val="0"/>
      <w:divBdr>
        <w:top w:val="none" w:sz="0" w:space="0" w:color="auto"/>
        <w:left w:val="none" w:sz="0" w:space="0" w:color="auto"/>
        <w:bottom w:val="none" w:sz="0" w:space="0" w:color="auto"/>
        <w:right w:val="none" w:sz="0" w:space="0" w:color="auto"/>
      </w:divBdr>
    </w:div>
    <w:div w:id="1868106336">
      <w:bodyDiv w:val="1"/>
      <w:marLeft w:val="0"/>
      <w:marRight w:val="0"/>
      <w:marTop w:val="0"/>
      <w:marBottom w:val="0"/>
      <w:divBdr>
        <w:top w:val="none" w:sz="0" w:space="0" w:color="auto"/>
        <w:left w:val="none" w:sz="0" w:space="0" w:color="auto"/>
        <w:bottom w:val="none" w:sz="0" w:space="0" w:color="auto"/>
        <w:right w:val="none" w:sz="0" w:space="0" w:color="auto"/>
      </w:divBdr>
    </w:div>
    <w:div w:id="1975141293">
      <w:bodyDiv w:val="1"/>
      <w:marLeft w:val="0"/>
      <w:marRight w:val="0"/>
      <w:marTop w:val="0"/>
      <w:marBottom w:val="0"/>
      <w:divBdr>
        <w:top w:val="none" w:sz="0" w:space="0" w:color="auto"/>
        <w:left w:val="none" w:sz="0" w:space="0" w:color="auto"/>
        <w:bottom w:val="none" w:sz="0" w:space="0" w:color="auto"/>
        <w:right w:val="none" w:sz="0" w:space="0" w:color="auto"/>
      </w:divBdr>
    </w:div>
    <w:div w:id="2119257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hudoc.exec.coe.int/FRE" TargetMode="External"/><Relationship Id="rId18" Type="http://schemas.openxmlformats.org/officeDocument/2006/relationships/hyperlink" Target="https://rm.coe.int/grecorc4-2023-14-final-eng-add-to-the-2nd-compliance-report-luxembourg/1680ad9e28"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hudoc.exec.coe.int/ENG" TargetMode="External"/><Relationship Id="rId17" Type="http://schemas.openxmlformats.org/officeDocument/2006/relationships/hyperlink" Target="https://search.coe.int/cm/Pages/result_details.aspx?ObjectId=0900001680ac8959" TargetMode="External"/><Relationship Id="rId2" Type="http://schemas.openxmlformats.org/officeDocument/2006/relationships/numbering" Target="numbering.xml"/><Relationship Id="rId16" Type="http://schemas.openxmlformats.org/officeDocument/2006/relationships/hyperlink" Target="https://hudoc.exec.coe.int/FR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e.int/en/web/execution/luxembourg" TargetMode="External"/><Relationship Id="rId5" Type="http://schemas.openxmlformats.org/officeDocument/2006/relationships/webSettings" Target="webSettings.xml"/><Relationship Id="rId15" Type="http://schemas.openxmlformats.org/officeDocument/2006/relationships/hyperlink" Target="https://hudoc.exec.coe.int/ENG" TargetMode="External"/><Relationship Id="rId23" Type="http://schemas.openxmlformats.org/officeDocument/2006/relationships/theme" Target="theme/theme1.xml"/><Relationship Id="rId10" Type="http://schemas.openxmlformats.org/officeDocument/2006/relationships/hyperlink" Target="mailto:christel.schurrer@coe.int" TargetMode="External"/><Relationship Id="rId19" Type="http://schemas.openxmlformats.org/officeDocument/2006/relationships/hyperlink" Target="https://hudoc.echr.coe.int/" TargetMode="External"/><Relationship Id="rId4" Type="http://schemas.openxmlformats.org/officeDocument/2006/relationships/settings" Target="settings.xml"/><Relationship Id="rId9" Type="http://schemas.openxmlformats.org/officeDocument/2006/relationships/hyperlink" Target="https://rm.coe.int/luxembourg-2021-data-/1680ab89bf" TargetMode="External"/><Relationship Id="rId14" Type="http://schemas.openxmlformats.org/officeDocument/2006/relationships/hyperlink" Target="https://search.coe.int/cm/Pages/result_details.aspx?ObjectId=0900001680a74b54"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893E8E-35C2-4A84-B49F-CAE078317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606</Words>
  <Characters>3335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PEARD Valerie</dc:creator>
  <cp:keywords/>
  <dc:description/>
  <cp:lastModifiedBy>PEARD Valerie</cp:lastModifiedBy>
  <cp:revision>11</cp:revision>
  <dcterms:created xsi:type="dcterms:W3CDTF">2023-12-26T06:40:00Z</dcterms:created>
  <dcterms:modified xsi:type="dcterms:W3CDTF">2024-01-12T06:39:00Z</dcterms:modified>
</cp:coreProperties>
</file>